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04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5260"/>
      </w:tblGrid>
      <w:tr w:rsidR="0089081C" w:rsidRPr="00CF0055" w:rsidTr="0089081C">
        <w:trPr>
          <w:jc w:val="center"/>
        </w:trPr>
        <w:tc>
          <w:tcPr>
            <w:tcW w:w="4783" w:type="dxa"/>
          </w:tcPr>
          <w:p w:rsidR="0089081C" w:rsidRPr="00CF0055" w:rsidRDefault="0089081C" w:rsidP="0089081C">
            <w:pPr>
              <w:ind w:left="0" w:hanging="2"/>
              <w:jc w:val="center"/>
              <w:rPr>
                <w:rFonts w:ascii="Times New Roman" w:eastAsia="Times New Roman" w:hAnsi="Times New Roman" w:cs="Times New Roman"/>
                <w:b/>
                <w:bCs/>
                <w:noProof/>
                <w:lang w:val="vi-VN"/>
              </w:rPr>
            </w:pPr>
            <w:r w:rsidRPr="00CF0055">
              <w:rPr>
                <w:rFonts w:ascii="Times New Roman" w:eastAsia="Times New Roman" w:hAnsi="Times New Roman" w:cs="Times New Roman"/>
                <w:b/>
                <w:bCs/>
                <w:noProof/>
                <w:lang w:val="en-US"/>
              </w:rPr>
              <mc:AlternateContent>
                <mc:Choice Requires="wps">
                  <w:drawing>
                    <wp:anchor distT="0" distB="0" distL="114300" distR="114300" simplePos="0" relativeHeight="251664384" behindDoc="0" locked="0" layoutInCell="1" allowOverlap="1">
                      <wp:simplePos x="0" y="0"/>
                      <wp:positionH relativeFrom="column">
                        <wp:posOffset>941070</wp:posOffset>
                      </wp:positionH>
                      <wp:positionV relativeFrom="paragraph">
                        <wp:posOffset>255270</wp:posOffset>
                      </wp:positionV>
                      <wp:extent cx="1009650" cy="0"/>
                      <wp:effectExtent l="0" t="0" r="19050" b="19050"/>
                      <wp:wrapNone/>
                      <wp:docPr id="4" name="Straight Connector 4"/>
                      <wp:cNvGraphicFramePr/>
                      <a:graphic xmlns:a="http://schemas.openxmlformats.org/drawingml/2006/main">
                        <a:graphicData uri="http://schemas.microsoft.com/office/word/2010/wordprocessingShape">
                          <wps:wsp>
                            <wps:cNvCnPr/>
                            <wps:spPr>
                              <a:xfrm>
                                <a:off x="0" y="0"/>
                                <a:ext cx="10096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124C84" id="Straight Connector 4"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74.1pt,20.1pt" to="153.6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" strokecolor="black [3040]"/>
                  </w:pict>
                </mc:Fallback>
              </mc:AlternateContent>
            </w:r>
            <w:r w:rsidRPr="00CF0055">
              <w:rPr>
                <w:rFonts w:ascii="Times New Roman" w:eastAsia="Times New Roman" w:hAnsi="Times New Roman" w:cs="Times New Roman"/>
                <w:b/>
                <w:bCs/>
                <w:noProof/>
                <w:lang w:val="vi-VN"/>
              </w:rPr>
              <w:t>BỘ VĂN HÓA, THỂ THAO VÀ DU LỊCH</w:t>
            </w:r>
          </w:p>
        </w:tc>
        <w:tc>
          <w:tcPr>
            <w:tcW w:w="5260" w:type="dxa"/>
          </w:tcPr>
          <w:p w:rsidR="0089081C" w:rsidRPr="00CF0055" w:rsidRDefault="0089081C" w:rsidP="0089081C">
            <w:pPr>
              <w:ind w:left="0" w:hanging="2"/>
              <w:jc w:val="center"/>
              <w:rPr>
                <w:rFonts w:ascii="Times New Roman" w:eastAsia="Times New Roman" w:hAnsi="Times New Roman" w:cs="Times New Roman"/>
                <w:b/>
                <w:bCs/>
                <w:noProof/>
                <w:lang w:val="vi-VN"/>
              </w:rPr>
            </w:pPr>
            <w:r w:rsidRPr="00CF0055">
              <w:rPr>
                <w:rFonts w:ascii="Times New Roman" w:eastAsia="Times New Roman" w:hAnsi="Times New Roman" w:cs="Times New Roman"/>
                <w:b/>
                <w:bCs/>
                <w:noProof/>
                <w:lang w:val="vi-VN"/>
              </w:rPr>
              <w:t>CỘNG HÒA XÃ HỘI CHỦ NGHĨA VIỆT NAM</w:t>
            </w:r>
          </w:p>
          <w:p w:rsidR="0089081C" w:rsidRPr="00CF0055" w:rsidRDefault="0089081C" w:rsidP="0089081C">
            <w:pPr>
              <w:ind w:left="1" w:hanging="3"/>
              <w:jc w:val="center"/>
              <w:rPr>
                <w:rFonts w:ascii="Times New Roman" w:eastAsia="Times New Roman" w:hAnsi="Times New Roman" w:cs="Times New Roman"/>
                <w:b/>
                <w:bCs/>
                <w:noProof/>
                <w:sz w:val="26"/>
                <w:szCs w:val="26"/>
                <w:lang w:val="vi-VN"/>
              </w:rPr>
            </w:pPr>
            <w:r w:rsidRPr="00CF0055">
              <w:rPr>
                <w:rFonts w:ascii="Times New Roman" w:eastAsia="Times New Roman" w:hAnsi="Times New Roman" w:cs="Times New Roman"/>
                <w:b/>
                <w:bCs/>
                <w:noProof/>
                <w:sz w:val="26"/>
                <w:szCs w:val="26"/>
                <w:lang w:val="vi-VN"/>
              </w:rPr>
              <w:t>Độc lập - Tự do - Hạnh phúc</w:t>
            </w:r>
          </w:p>
          <w:p w:rsidR="0089081C" w:rsidRPr="00CF0055" w:rsidRDefault="0089081C" w:rsidP="0089081C">
            <w:pPr>
              <w:ind w:left="1" w:hanging="3"/>
              <w:jc w:val="center"/>
              <w:rPr>
                <w:rFonts w:ascii="Times New Roman" w:eastAsia="Times New Roman" w:hAnsi="Times New Roman" w:cs="Times New Roman"/>
                <w:b/>
                <w:bCs/>
                <w:noProof/>
                <w:sz w:val="26"/>
                <w:szCs w:val="26"/>
                <w:lang w:val="vi-VN"/>
              </w:rPr>
            </w:pPr>
            <w:r w:rsidRPr="00CF0055">
              <w:rPr>
                <w:rFonts w:ascii="Times New Roman" w:eastAsia="Times New Roman" w:hAnsi="Times New Roman" w:cs="Times New Roman"/>
                <w:b/>
                <w:bCs/>
                <w:noProof/>
                <w:sz w:val="26"/>
                <w:szCs w:val="26"/>
                <w:lang w:val="en-US"/>
              </w:rPr>
              <mc:AlternateContent>
                <mc:Choice Requires="wps">
                  <w:drawing>
                    <wp:anchor distT="0" distB="0" distL="114300" distR="114300" simplePos="0" relativeHeight="251660288" behindDoc="0" locked="0" layoutInCell="1" allowOverlap="1">
                      <wp:simplePos x="0" y="0"/>
                      <wp:positionH relativeFrom="column">
                        <wp:posOffset>628014</wp:posOffset>
                      </wp:positionH>
                      <wp:positionV relativeFrom="paragraph">
                        <wp:posOffset>52070</wp:posOffset>
                      </wp:positionV>
                      <wp:extent cx="1914525" cy="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19145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C5104E" id="Straight Connector 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9.45pt,4.1pt" to="200.2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" strokecolor="black [3040]"/>
                  </w:pict>
                </mc:Fallback>
              </mc:AlternateContent>
            </w:r>
          </w:p>
        </w:tc>
      </w:tr>
      <w:tr w:rsidR="0089081C" w:rsidRPr="00CF0055" w:rsidTr="0089081C">
        <w:trPr>
          <w:jc w:val="center"/>
        </w:trPr>
        <w:tc>
          <w:tcPr>
            <w:tcW w:w="4783" w:type="dxa"/>
          </w:tcPr>
          <w:p w:rsidR="0089081C" w:rsidRPr="00CF0055" w:rsidRDefault="0089081C" w:rsidP="0089081C">
            <w:pPr>
              <w:ind w:left="0" w:hanging="2"/>
              <w:jc w:val="center"/>
              <w:rPr>
                <w:rFonts w:ascii="Times New Roman" w:eastAsia="Times New Roman" w:hAnsi="Times New Roman" w:cs="Times New Roman"/>
                <w:b/>
                <w:bCs/>
                <w:noProof/>
                <w:lang w:val="en-US"/>
              </w:rPr>
            </w:pPr>
          </w:p>
        </w:tc>
        <w:tc>
          <w:tcPr>
            <w:tcW w:w="5260" w:type="dxa"/>
          </w:tcPr>
          <w:p w:rsidR="0089081C" w:rsidRPr="00CF0055" w:rsidRDefault="0089081C" w:rsidP="0089081C">
            <w:pPr>
              <w:ind w:left="1" w:hanging="3"/>
              <w:jc w:val="center"/>
              <w:rPr>
                <w:rFonts w:ascii="Times New Roman" w:eastAsia="Times New Roman" w:hAnsi="Times New Roman" w:cs="Times New Roman"/>
                <w:bCs/>
                <w:i/>
                <w:noProof/>
                <w:sz w:val="28"/>
                <w:szCs w:val="28"/>
                <w:lang w:val="vi-VN"/>
              </w:rPr>
            </w:pPr>
            <w:r w:rsidRPr="00CF0055">
              <w:rPr>
                <w:rFonts w:ascii="Times New Roman" w:eastAsia="Times New Roman" w:hAnsi="Times New Roman" w:cs="Times New Roman"/>
                <w:bCs/>
                <w:i/>
                <w:noProof/>
                <w:sz w:val="28"/>
                <w:szCs w:val="28"/>
                <w:lang w:val="vi-VN"/>
              </w:rPr>
              <w:t>Hà Nội, ngày       tháng     năm 2026</w:t>
            </w:r>
          </w:p>
        </w:tc>
      </w:tr>
    </w:tbl>
    <w:p w:rsidR="00296487" w:rsidRPr="00CF0055" w:rsidRDefault="00A31090">
      <w:pPr>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 </w:t>
      </w:r>
    </w:p>
    <w:p w:rsidR="00296487" w:rsidRPr="00CF0055" w:rsidRDefault="00A31090">
      <w:pPr>
        <w:spacing w:after="0" w:line="240" w:lineRule="auto"/>
        <w:jc w:val="center"/>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 xml:space="preserve">BẢN ĐÁNH GIÁ THỦ TỤC HÀNH CHÍNH, </w:t>
      </w:r>
    </w:p>
    <w:p w:rsidR="00296487" w:rsidRPr="00CF0055" w:rsidRDefault="00A31090">
      <w:pPr>
        <w:spacing w:after="0" w:line="240" w:lineRule="auto"/>
        <w:jc w:val="center"/>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 xml:space="preserve">VIỆC PHÂN QUYỀN, PHÂN CẤP, VIỆC ỨNG DỤNG, THÚC ĐẨY </w:t>
      </w:r>
    </w:p>
    <w:p w:rsidR="00296487" w:rsidRPr="00CF0055" w:rsidRDefault="00A31090">
      <w:pPr>
        <w:spacing w:after="0" w:line="240" w:lineRule="auto"/>
        <w:jc w:val="center"/>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 xml:space="preserve">PHÁT TRIỂN KHOA HỌC, CÔNG NGHỆ, ĐỔI MỚI SÁNG TẠO VÀ CHUYỂN ĐỔI SỐ, BẢO ĐẢM BÌNH ĐẲNG GIỚI, VIỆC THỰC HIỆN CHÍNH SÁCH DÂN TỘC TRONG </w:t>
      </w:r>
      <w:r w:rsidR="0089081C" w:rsidRPr="00CF0055">
        <w:rPr>
          <w:rFonts w:ascii="Times New Roman" w:eastAsia="Times New Roman" w:hAnsi="Times New Roman" w:cs="Times New Roman"/>
          <w:b/>
          <w:bCs/>
          <w:noProof/>
          <w:sz w:val="28"/>
          <w:szCs w:val="28"/>
          <w:lang w:val="en-US"/>
        </w:rPr>
        <w:t>DỰ ÁN LUẬT SỬA ĐỔI, BỔ SUNG MỘT SỐ ĐIỀU CỦA LUẬT THỂ DỤC, THỂ THAO, LUẬT DU LỊCH, LUẬT ĐIỆN ẢNH, LUẬT THƯ VIỆN, LUẬT DI SẢN VĂN HÓA</w:t>
      </w:r>
    </w:p>
    <w:p w:rsidR="00296487" w:rsidRPr="00CF0055" w:rsidRDefault="00296487">
      <w:pPr>
        <w:ind w:firstLine="567"/>
        <w:jc w:val="both"/>
        <w:rPr>
          <w:rFonts w:ascii="Times New Roman" w:eastAsia="Times New Roman" w:hAnsi="Times New Roman" w:cs="Times New Roman"/>
          <w:noProof/>
          <w:sz w:val="28"/>
          <w:szCs w:val="28"/>
          <w:lang w:val="en-US"/>
        </w:rPr>
      </w:pP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 xml:space="preserve">Thực hiện quy định của </w:t>
      </w:r>
      <w:r w:rsidR="0089081C" w:rsidRPr="00CF0055">
        <w:rPr>
          <w:rFonts w:ascii="Times New Roman" w:eastAsia="Times New Roman" w:hAnsi="Times New Roman" w:cs="Times New Roman"/>
          <w:noProof/>
          <w:sz w:val="28"/>
          <w:szCs w:val="28"/>
          <w:lang w:val="en-US"/>
        </w:rPr>
        <w:t>Luật Ban hành văn bản quy phạm pháp luật số 64/2025/QH15 được sửa đổi, bổ sung bởi luật số 87/2025/QH15, Bộ Văn hóa, T</w:t>
      </w:r>
      <w:r w:rsidR="0089081C" w:rsidRPr="00CF0055">
        <w:rPr>
          <w:rFonts w:ascii="Times New Roman" w:eastAsia="Times New Roman" w:hAnsi="Times New Roman" w:cs="Times New Roman"/>
          <w:noProof/>
          <w:sz w:val="28"/>
          <w:szCs w:val="28"/>
          <w:lang w:val="vi-VN"/>
        </w:rPr>
        <w:t>hể thao và Du lịch</w:t>
      </w:r>
      <w:r w:rsidRPr="00CF0055">
        <w:rPr>
          <w:rFonts w:ascii="Times New Roman" w:eastAsia="Times New Roman" w:hAnsi="Times New Roman" w:cs="Times New Roman"/>
          <w:noProof/>
          <w:sz w:val="28"/>
          <w:szCs w:val="28"/>
          <w:lang w:val="en-US"/>
        </w:rPr>
        <w:t xml:space="preserve"> đã tiến hành đánh giá thủ tục hành chính, việc phân quyền, phân cấp, việc ứng dụng, thúc đẩy phát triển khoa học, công nghệ, đổi mới sáng tạo và chuyển đổi số, việc bảo đảm bình đẳng giới, việc thực hiện chính sách dân tộc trong dự án </w:t>
      </w:r>
      <w:r w:rsidR="0089081C" w:rsidRPr="00CF0055">
        <w:rPr>
          <w:rFonts w:ascii="Times New Roman" w:eastAsia="Times New Roman" w:hAnsi="Times New Roman" w:cs="Times New Roman"/>
          <w:noProof/>
          <w:sz w:val="28"/>
          <w:szCs w:val="28"/>
          <w:lang w:val="en-US"/>
        </w:rPr>
        <w:t>Luật sửa đổi, bổ sung một số điều của Luật Thể dục, thể thao, Luật Du lịch, Luật Điện ảnh, Luật Thư viện, Luật Di sản văn hóa</w:t>
      </w:r>
      <w:r w:rsidR="002536E9" w:rsidRPr="00CF0055">
        <w:rPr>
          <w:rFonts w:ascii="Times New Roman" w:eastAsia="Times New Roman" w:hAnsi="Times New Roman" w:cs="Times New Roman"/>
          <w:noProof/>
          <w:sz w:val="28"/>
          <w:szCs w:val="28"/>
          <w:lang w:val="vi-VN"/>
        </w:rPr>
        <w:t xml:space="preserve"> (sau đây gọi tắt là dự án Luật)</w:t>
      </w:r>
      <w:r w:rsidRPr="00CF0055">
        <w:rPr>
          <w:rFonts w:ascii="Times New Roman" w:eastAsia="Times New Roman" w:hAnsi="Times New Roman" w:cs="Times New Roman"/>
          <w:noProof/>
          <w:sz w:val="28"/>
          <w:szCs w:val="28"/>
          <w:lang w:val="en-US"/>
        </w:rPr>
        <w:t>. Kết quả như sau:</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I. TỔ CHỨC THỰC HIỆN ĐÁNH GIÁ</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1. Bối cảnh xây dựng dự án, dự thảo văn bản quy phạm pháp luật</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1.1. Cơ sở chính trị, pháp lý</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1.1.1. Cơ sở chính trị</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 xml:space="preserve">Ban chấp hành Trung ương Đảng, Bộ Chính trị có nhiều chỉ đạo về việc tập trung các nguồn lực để hoàn thiện thể chế, cơ chế vận hành các cơ quan, đơn vị, tổ chức của hệ thống chính trị sắp xếp đơn vị hành chính các cấp, xây dựng chính quyền địa phương 02 cấp; phân định rõ thẩm quyền, trách nhiệm của Quốc hội, Chính phủ, xác định rõ trách nhiệm giữa Trung ương và địa phương, giữa các cấp chính quyền địa phương; khẩn trương sửa đổi, bổ sung, thay thế, bãi bỏ hoặc ban hành mới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đồng thời đổi mới toàn diện việc giải quyết thủ tục hành chính (TTHC), cung cấp dịch vụ công không phụ thuộc địa giới hành chính; nâng cao chất lượng dịch vụ công trực tuyến, dịch vụ số cho người dân và doanh nghiệp, hướng tới cung cấp dịch vụ công trực tuyến toàn trình, cá nhân hoá và dựa trên dữ liệu” (Nghị quyết số 60-NQ/TW ngày 12/4/2025 của Ban Chấp hành Trung ương tại Hội nghị lần thứ 11 của Ban Chấp hành Trung ương Đảng khoá XIII; Kết luận số 21/KL/TW ngày 24/1/2025 của Ban Chấp hành Trung ương Đảng khoá XIII về việc tổng kết </w:t>
      </w:r>
      <w:r w:rsidRPr="00CF0055">
        <w:rPr>
          <w:rFonts w:ascii="Times New Roman" w:eastAsia="Times New Roman" w:hAnsi="Times New Roman" w:cs="Times New Roman"/>
          <w:noProof/>
          <w:sz w:val="28"/>
          <w:szCs w:val="28"/>
          <w:lang w:val="en-US"/>
        </w:rPr>
        <w:lastRenderedPageBreak/>
        <w:t>Nghị quyết số 18-NQ/TW; Nghị quyết số 66-NQ/TW ngày 30/4/2025 của Bộ Chính trị về đổi mới công tác xây dựng và thi hành pháp luật đáp ứng yêu cầu phát triển đất nước trong kỷ nguyên mới).</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Ngoài ra, các yêu cầu về đổi mới toàn diện việc giải quyết TTHC, cung cấp dịch vụ công không phụ thuộc địa giới hành chính; nâng cao chất lượng dịch vụ công trực tuyến, dịch vụ số cho người dân và doanh nghiệp, hướng tới cung cấp dịch vụ công trực tuyến toàn trình, cá nhân hoá và dựa trên dữ liệu; thực hiện đơn giản hóa TTHC, cắt bỏ các thủ tục không cần thiết, gây phiền hà cho người dân và doanh nghiệp…cũng là những yêu cầu cấp thiết hiện nay của Đảng và Nhà nước (Nghị quyết số 27 NQ/TW ngày 09/11/2022 tại Hội nghị lần thứ sáu Ban Chấp hành Trung ương Đảng khóa XIII về tiếp tục xây dựng và hoàn thiện Nhà nước pháp quyền xã hội chủ nghĩa Việt Nam trong giai đoạn mới; Nghị quyết số 57-NQ/TW ngày 22/12/2024 của Bộ Chính trị về đột phá phát triển khoa học, công nghệ, đổi mới sáng tạo và chuyển đổi số quốc gia; Nghị quyết số 66/NQ-CP ngày 16/3/2025 của Chính phủ về Chương trình cắt giảm, đơn giản hóa TTHC liên quan đến hoạt động sản xuất, kinh doanh năm 2025 và 2026…).</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t>1.1.2. Cơ sở pháp lý</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Để bảo đảm cơ sở pháp lý cho việc sắp xếp đơn vị hành chính các cấp và xây dựng mô hình tổ chức chính quyền địa phương 02 cấp, ngày 16/6/2025, Quốc hội đã thông qua Nghị quyết số 203/2025/QH15 của Quốc hội về việc sửa đổi, bổ sung một số điều của Hiến pháp nước Cộng hoà XHCN Việt Nam, trong đó quy định: “Các đơn vị hành chính của nước Cộng hòa xã hội chủ nghĩa Việt Nam được tổ chức thành hai cấp, gồm tỉnh, thành phố trực thuộc trung ương và các đơn vị hành chính dưới tỉnh, thành phố trực thuộc trung ương do luật định” (Khoản 4 Điều 1 sửa đổi, bổ sung Điều 110 Hiến pháp năm 2013).</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 xml:space="preserve">Luật Tổ chức chính quyền địa phương số 72/2025/QH15 ngày 16/6/2025, Luật Tổ chức chính phủ số 63/2025/QH15 ngày 18/02/2025  quy định về đơn vị hành chính của nước Cộng hòa xã hội chủ nghĩa Việt Nam theo mô hình chính quyền địa phương 02 cấp, phân định rõ thẩm quyền của chính quyền địa phương.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Bên cạnh đó, Nghị quyết số 190/2025/QH15 ngày 19/02/2025 của Quốc hội quy định về xử lý các nội dung liên quan đến sắp xếp tổ chức bộ máy nhà nước, Luật Tổ chức chính phủ cũng quy định: “Cơ quan, người có thẩm quyền phải ban hành văn bản quy phạm pháp luật theo thẩm quyền hoặc trình cấp có thẩm quyền ban hành văn bản quy phạm pháp luật theo trình tự, thủ tục rút gọn để xử lý các văn bản chịu sự tác động do sắp xếp tổ chức bộ máy nhà nước, bảo đảm hoàn thành trước ngày 01 tháng 3 năm 2027”; “Trường hợp luật, nghị quyết của Quốc hội, pháp lệnh, nghị quyết của Ủy ban Thường vụ Quốc hội quy định về nhiệm vụ, quyền hạn của Chính phủ, Thủ tướng Chính phủ, Bộ trưởng, Thủ trưởng cơ quan ngang Bộ chưa phù hợp với quy định của Luật này thì phải điều chỉnh thống nhất với quy định của Luật này trong thời hạn 02 năm kể từ ngày Luật này có hiệu lực thi hành”.</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b/>
          <w:bCs/>
          <w:noProof/>
          <w:sz w:val="28"/>
          <w:szCs w:val="28"/>
          <w:lang w:val="en-US"/>
        </w:rPr>
        <w:lastRenderedPageBreak/>
        <w:t>1.2. Cơ sở thực tiễn</w:t>
      </w:r>
    </w:p>
    <w:p w:rsidR="00296487" w:rsidRPr="00CF0055" w:rsidRDefault="00D11D91"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vi-VN"/>
        </w:rPr>
        <w:t xml:space="preserve">Các Luật </w:t>
      </w:r>
      <w:r w:rsidR="00CF0055">
        <w:rPr>
          <w:rFonts w:ascii="Times New Roman" w:eastAsia="Times New Roman" w:hAnsi="Times New Roman" w:cs="Times New Roman"/>
          <w:noProof/>
          <w:sz w:val="28"/>
          <w:szCs w:val="28"/>
          <w:lang w:val="en-US"/>
        </w:rPr>
        <w:t>Thể dục thể thao, Luật Du lịch, Luật Thư viện, Luật Điện ảnh và Luật Di sản văn hóa đã thông qua và triển khai trong thực tế, trong đó Luật Thể dục thể thao có thời gian áp dụng lâu nhất, tiếp đến là Luật Du lịch, Luật Thư viện; Luật Di sản văn hóa có hiệu lực thi hành từ ngày 01/7/2025.</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en-US"/>
        </w:rPr>
      </w:pPr>
      <w:r w:rsidRPr="00CF0055">
        <w:rPr>
          <w:rFonts w:ascii="Times New Roman" w:eastAsia="Times New Roman" w:hAnsi="Times New Roman" w:cs="Times New Roman"/>
          <w:noProof/>
          <w:sz w:val="28"/>
          <w:szCs w:val="28"/>
          <w:lang w:val="en-US"/>
        </w:rPr>
        <w:t xml:space="preserve">Tuy nhiên, trước yêu cầu ngày càng cao của công cuộc cải cách tư pháp, cải cách hành chính, nhất là việc tổ chức, sắp xếp lại bộ máy theo mô hình chính quyền địa phương hai cấp, đẩy mạnh ứng dụng công nghệ thông tin và chuyển đổi số, thì lĩnh vực </w:t>
      </w:r>
      <w:r w:rsidR="00D11D91" w:rsidRPr="00CF0055">
        <w:rPr>
          <w:rFonts w:ascii="Times New Roman" w:eastAsia="Times New Roman" w:hAnsi="Times New Roman" w:cs="Times New Roman"/>
          <w:noProof/>
          <w:sz w:val="28"/>
          <w:szCs w:val="28"/>
          <w:lang w:val="vi-VN"/>
        </w:rPr>
        <w:t>văn hóa, thể thao và du lịch</w:t>
      </w:r>
      <w:r w:rsidRPr="00CF0055">
        <w:rPr>
          <w:rFonts w:ascii="Times New Roman" w:eastAsia="Times New Roman" w:hAnsi="Times New Roman" w:cs="Times New Roman"/>
          <w:noProof/>
          <w:sz w:val="28"/>
          <w:szCs w:val="28"/>
          <w:lang w:val="en-US"/>
        </w:rPr>
        <w:t xml:space="preserve"> đã bộc lộ không ít những tồn tại, hạn chế: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en-US"/>
        </w:rPr>
        <w:t xml:space="preserve">Thứ nhất, một số quy định của </w:t>
      </w:r>
      <w:r w:rsidR="00D11D91" w:rsidRPr="00CF0055">
        <w:rPr>
          <w:rFonts w:ascii="Times New Roman" w:eastAsia="Times New Roman" w:hAnsi="Times New Roman" w:cs="Times New Roman"/>
          <w:noProof/>
          <w:sz w:val="28"/>
          <w:szCs w:val="28"/>
          <w:lang w:val="vi-VN"/>
        </w:rPr>
        <w:t>các Luật</w:t>
      </w:r>
      <w:r w:rsidRPr="00CF0055">
        <w:rPr>
          <w:rFonts w:ascii="Times New Roman" w:eastAsia="Times New Roman" w:hAnsi="Times New Roman" w:cs="Times New Roman"/>
          <w:noProof/>
          <w:sz w:val="28"/>
          <w:szCs w:val="28"/>
          <w:lang w:val="en-US"/>
        </w:rPr>
        <w:t xml:space="preserve"> không còn phù hợp với yêu cầu tổ chức, sắp xếp bộ máy chính quyền địa phương hiện nay. Kết quả rà soát </w:t>
      </w:r>
      <w:r w:rsidR="00D11D91" w:rsidRPr="00CF0055">
        <w:rPr>
          <w:rFonts w:ascii="Times New Roman" w:eastAsia="Times New Roman" w:hAnsi="Times New Roman" w:cs="Times New Roman"/>
          <w:noProof/>
          <w:sz w:val="28"/>
          <w:szCs w:val="28"/>
          <w:lang w:val="en-US"/>
        </w:rPr>
        <w:t>cho thấy, có …</w:t>
      </w:r>
      <w:r w:rsidRPr="00CF0055">
        <w:rPr>
          <w:rFonts w:ascii="Times New Roman" w:eastAsia="Times New Roman" w:hAnsi="Times New Roman" w:cs="Times New Roman"/>
          <w:noProof/>
          <w:sz w:val="28"/>
          <w:szCs w:val="28"/>
          <w:lang w:val="en-US"/>
        </w:rPr>
        <w:t xml:space="preserve"> điều liên quan đến thẩm quyền trách nhiệm quản lý nhà nước trong lĩnh vực </w:t>
      </w:r>
      <w:r w:rsidR="00D11D91" w:rsidRPr="00CF0055">
        <w:rPr>
          <w:rFonts w:ascii="Times New Roman" w:eastAsia="Times New Roman" w:hAnsi="Times New Roman" w:cs="Times New Roman"/>
          <w:noProof/>
          <w:sz w:val="28"/>
          <w:szCs w:val="28"/>
          <w:lang w:val="vi-VN"/>
        </w:rPr>
        <w:t>văn hóa, thể thao, du lịch</w:t>
      </w:r>
      <w:r w:rsidRPr="00CF0055">
        <w:rPr>
          <w:rFonts w:ascii="Times New Roman" w:eastAsia="Times New Roman" w:hAnsi="Times New Roman" w:cs="Times New Roman"/>
          <w:noProof/>
          <w:sz w:val="28"/>
          <w:szCs w:val="28"/>
          <w:lang w:val="en-US"/>
        </w:rPr>
        <w:t xml:space="preserve"> của Ủy ban nhân dân (UBND) cấp huyện cần phải sửa đổi để bảo đảm phù hợp với việc sắp xếp, tổ chức bộ máy, đẩy mạnh phân cấp phân quyền, chuyển giao nhiệm vụ của</w:t>
      </w:r>
      <w:r w:rsidR="00D11D91" w:rsidRPr="00CF0055">
        <w:rPr>
          <w:rFonts w:ascii="Times New Roman" w:eastAsia="Times New Roman" w:hAnsi="Times New Roman" w:cs="Times New Roman"/>
          <w:noProof/>
          <w:sz w:val="28"/>
          <w:szCs w:val="28"/>
          <w:lang w:val="en-US"/>
        </w:rPr>
        <w:t xml:space="preserve"> UBND cấp huyện cho UBND cấp xã, cần phân cấp từ cấp trung ương xuống địa</w:t>
      </w:r>
      <w:r w:rsidR="00D11D91" w:rsidRPr="00CF0055">
        <w:rPr>
          <w:rFonts w:ascii="Times New Roman" w:eastAsia="Times New Roman" w:hAnsi="Times New Roman" w:cs="Times New Roman"/>
          <w:noProof/>
          <w:sz w:val="28"/>
          <w:szCs w:val="28"/>
          <w:lang w:val="vi-VN"/>
        </w:rPr>
        <w:t xml:space="preserve"> phương...</w:t>
      </w:r>
    </w:p>
    <w:p w:rsidR="00296487" w:rsidRPr="00CF0055" w:rsidRDefault="00D11D91"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C</w:t>
      </w:r>
      <w:r w:rsidR="00A31090" w:rsidRPr="00CF0055">
        <w:rPr>
          <w:rFonts w:ascii="Times New Roman" w:eastAsia="Times New Roman" w:hAnsi="Times New Roman" w:cs="Times New Roman"/>
          <w:noProof/>
          <w:sz w:val="28"/>
          <w:szCs w:val="28"/>
          <w:lang w:val="vi-VN"/>
        </w:rPr>
        <w:t>hưa có sự đồng bộ giữa các quy định của Luật với các quy định pháp luật liên quan. Kể từ khi Luật được ban hành đến nay, Quốc hội đã b</w:t>
      </w:r>
      <w:r w:rsidRPr="00CF0055">
        <w:rPr>
          <w:rFonts w:ascii="Times New Roman" w:eastAsia="Times New Roman" w:hAnsi="Times New Roman" w:cs="Times New Roman"/>
          <w:noProof/>
          <w:sz w:val="28"/>
          <w:szCs w:val="28"/>
          <w:lang w:val="vi-VN"/>
        </w:rPr>
        <w:t>an hành một số Luật, Nghị quyết</w:t>
      </w:r>
      <w:r w:rsidR="00A31090" w:rsidRPr="00CF0055">
        <w:rPr>
          <w:rFonts w:ascii="Times New Roman" w:eastAsia="Times New Roman" w:hAnsi="Times New Roman" w:cs="Times New Roman"/>
          <w:noProof/>
          <w:sz w:val="28"/>
          <w:szCs w:val="28"/>
          <w:lang w:val="vi-VN"/>
        </w:rPr>
        <w:t xml:space="preserve"> trong đó có những quy định tác động đến công tác </w:t>
      </w:r>
      <w:r w:rsidRPr="00CF0055">
        <w:rPr>
          <w:rFonts w:ascii="Times New Roman" w:eastAsia="Times New Roman" w:hAnsi="Times New Roman" w:cs="Times New Roman"/>
          <w:noProof/>
          <w:sz w:val="28"/>
          <w:szCs w:val="28"/>
          <w:lang w:val="vi-VN"/>
        </w:rPr>
        <w:t xml:space="preserve">chuyên môn </w:t>
      </w:r>
      <w:r w:rsidR="00A31090" w:rsidRPr="00CF0055">
        <w:rPr>
          <w:rFonts w:ascii="Times New Roman" w:eastAsia="Times New Roman" w:hAnsi="Times New Roman" w:cs="Times New Roman"/>
          <w:noProof/>
          <w:sz w:val="28"/>
          <w:szCs w:val="28"/>
          <w:lang w:val="vi-VN"/>
        </w:rPr>
        <w:t xml:space="preserve">và dẫn đến thiếu thống nhất, khiến cho cơ quan </w:t>
      </w:r>
      <w:r w:rsidRPr="00CF0055">
        <w:rPr>
          <w:rFonts w:ascii="Times New Roman" w:eastAsia="Times New Roman" w:hAnsi="Times New Roman" w:cs="Times New Roman"/>
          <w:noProof/>
          <w:sz w:val="28"/>
          <w:szCs w:val="28"/>
          <w:lang w:val="vi-VN"/>
        </w:rPr>
        <w:t>quản lý</w:t>
      </w:r>
      <w:r w:rsidR="00A31090" w:rsidRPr="00CF0055">
        <w:rPr>
          <w:rFonts w:ascii="Times New Roman" w:eastAsia="Times New Roman" w:hAnsi="Times New Roman" w:cs="Times New Roman"/>
          <w:noProof/>
          <w:sz w:val="28"/>
          <w:szCs w:val="28"/>
          <w:lang w:val="vi-VN"/>
        </w:rPr>
        <w:t xml:space="preserve"> khó áp dụng hoặc áp dụng không thống nhất khi giải quyết yêu cầu.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Từ những tồn tại, hạn chế cơ bản như nêu trên, trước yêu cầu của Đảng và Nhà nước trong việc đẩy mạnh phân cấp, phân quyền, tinh gọn tổ chức bộ máy của hệ thống chính trị, đổi mới tư duy công tác xây dựng pháp luật, thực hiện chuyển đổi số đáp ứng yêu cầu cải cách TTHC, thì việc xác định những chính sách mới, tiến bộ trong lĩnh vực </w:t>
      </w:r>
      <w:r w:rsidR="00D11D91" w:rsidRPr="00CF0055">
        <w:rPr>
          <w:rFonts w:ascii="Times New Roman" w:eastAsia="Times New Roman" w:hAnsi="Times New Roman" w:cs="Times New Roman"/>
          <w:noProof/>
          <w:sz w:val="28"/>
          <w:szCs w:val="28"/>
          <w:lang w:val="vi-VN"/>
        </w:rPr>
        <w:t>văn hóa, thể thao, du lịch</w:t>
      </w:r>
      <w:r w:rsidRPr="00CF0055">
        <w:rPr>
          <w:rFonts w:ascii="Times New Roman" w:eastAsia="Times New Roman" w:hAnsi="Times New Roman" w:cs="Times New Roman"/>
          <w:noProof/>
          <w:sz w:val="28"/>
          <w:szCs w:val="28"/>
          <w:lang w:val="vi-VN"/>
        </w:rPr>
        <w:t xml:space="preserve"> nhằm tạo hành lang pháp lý rõ ràng, khắc phục những tồn tại, hạn chế và khơi thông các điểm nghẽn là vô cùng cần thiết. Qua đó góp phần tích cực bảo đảm các quyền con người, quyền công dân và nâng cao hiệu quả quản lý nhà nước trong lĩnh vực này.</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2. Mục đích, yêu cầu đánh giá</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2.1. Mục đích</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 Bảo đảm quy định tại </w:t>
      </w:r>
      <w:r w:rsidR="002536E9" w:rsidRPr="00CF0055">
        <w:rPr>
          <w:rFonts w:ascii="Times New Roman" w:eastAsia="Times New Roman" w:hAnsi="Times New Roman" w:cs="Times New Roman"/>
          <w:noProof/>
          <w:sz w:val="28"/>
          <w:szCs w:val="28"/>
          <w:lang w:val="vi-VN"/>
        </w:rPr>
        <w:t>dự án Luật</w:t>
      </w:r>
      <w:r w:rsidRPr="00CF0055">
        <w:rPr>
          <w:rFonts w:ascii="Times New Roman" w:eastAsia="Times New Roman" w:hAnsi="Times New Roman" w:cs="Times New Roman"/>
          <w:noProof/>
          <w:sz w:val="28"/>
          <w:szCs w:val="28"/>
          <w:lang w:val="vi-VN"/>
        </w:rPr>
        <w:t xml:space="preserve"> phù hợp chủ trương, đường lối của Đảng, mục tiêu, định hướng về đẩy mạnh phân cấp, phân quyền, tinh gọn tổ chức bộ máy của hệ thống chính trị; chuyển đổi số, cải cách tư pháp, cải cách TTHC hiện nay.</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 Bảo đảm các quy định tại </w:t>
      </w:r>
      <w:r w:rsidR="002536E9" w:rsidRPr="00CF0055">
        <w:rPr>
          <w:rFonts w:ascii="Times New Roman" w:eastAsia="Times New Roman" w:hAnsi="Times New Roman" w:cs="Times New Roman"/>
          <w:noProof/>
          <w:sz w:val="28"/>
          <w:szCs w:val="28"/>
          <w:lang w:val="vi-VN"/>
        </w:rPr>
        <w:t>dự án Luật</w:t>
      </w:r>
      <w:r w:rsidRPr="00CF0055">
        <w:rPr>
          <w:rFonts w:ascii="Times New Roman" w:eastAsia="Times New Roman" w:hAnsi="Times New Roman" w:cs="Times New Roman"/>
          <w:noProof/>
          <w:sz w:val="28"/>
          <w:szCs w:val="28"/>
          <w:lang w:val="vi-VN"/>
        </w:rPr>
        <w:t xml:space="preserve"> có tính thống nhất, đồng bộ của hệ thống pháp luật, phù hợp các quy định của Hiến pháp.</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2.2. Yêu cầu đánh giá</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lastRenderedPageBreak/>
        <w:t xml:space="preserve">- Bám sát các tiêu chí đánh giá theo quy định của Luật Ban hành văn bản quy phạm pháp luật và các văn bản hướng dẫn chi tiết thi hành; đánh giá được sự cần thiết, tính hợp pháp, hợp lý, sự khả thi trong các quy định tại </w:t>
      </w:r>
      <w:r w:rsidR="002536E9" w:rsidRPr="00CF0055">
        <w:rPr>
          <w:rFonts w:ascii="Times New Roman" w:eastAsia="Times New Roman" w:hAnsi="Times New Roman" w:cs="Times New Roman"/>
          <w:noProof/>
          <w:sz w:val="28"/>
          <w:szCs w:val="28"/>
          <w:lang w:val="vi-VN"/>
        </w:rPr>
        <w:t>dự án Luật</w:t>
      </w:r>
      <w:r w:rsidRPr="00CF0055">
        <w:rPr>
          <w:rFonts w:ascii="Times New Roman" w:eastAsia="Times New Roman" w:hAnsi="Times New Roman" w:cs="Times New Roman"/>
          <w:noProof/>
          <w:sz w:val="28"/>
          <w:szCs w:val="28"/>
          <w:lang w:val="vi-VN"/>
        </w:rPr>
        <w:t>.</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 Thuyết minh rõ được tính đơn giản và ưu điểm của thủ tục hành chính được quy định sửa đổi, bổ sung hoặc được phân quyền, phân cấp và lợi ích về chi phí khi thực hiện.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II. KẾT QUẢ ĐÁNH GIÁ</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1. Đánh giá thủ tục hành chính</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Về cơ bản, </w:t>
      </w:r>
      <w:r w:rsidR="002536E9" w:rsidRPr="00CF0055">
        <w:rPr>
          <w:rFonts w:ascii="Times New Roman" w:eastAsia="Times New Roman" w:hAnsi="Times New Roman" w:cs="Times New Roman"/>
          <w:noProof/>
          <w:sz w:val="28"/>
          <w:szCs w:val="28"/>
          <w:lang w:val="vi-VN"/>
        </w:rPr>
        <w:t>dự án Luật</w:t>
      </w:r>
      <w:r w:rsidRPr="00CF0055">
        <w:rPr>
          <w:rFonts w:ascii="Times New Roman" w:eastAsia="Times New Roman" w:hAnsi="Times New Roman" w:cs="Times New Roman"/>
          <w:noProof/>
          <w:sz w:val="28"/>
          <w:szCs w:val="28"/>
          <w:lang w:val="vi-VN"/>
        </w:rPr>
        <w:t xml:space="preserve"> đã </w:t>
      </w:r>
      <w:r w:rsidR="002536E9" w:rsidRPr="00CF0055">
        <w:rPr>
          <w:rFonts w:ascii="Times New Roman" w:eastAsia="Times New Roman" w:hAnsi="Times New Roman" w:cs="Times New Roman"/>
          <w:noProof/>
          <w:sz w:val="28"/>
          <w:szCs w:val="28"/>
          <w:lang w:val="vi-VN"/>
        </w:rPr>
        <w:t>thực hiện</w:t>
      </w:r>
      <w:r w:rsidRPr="00CF0055">
        <w:rPr>
          <w:rFonts w:ascii="Times New Roman" w:eastAsia="Times New Roman" w:hAnsi="Times New Roman" w:cs="Times New Roman"/>
          <w:noProof/>
          <w:sz w:val="28"/>
          <w:szCs w:val="28"/>
          <w:lang w:val="vi-VN"/>
        </w:rPr>
        <w:t xml:space="preserve"> đơn giản hóa TTHC, đảm bảo tính tinh gọn, dễ thực hiện và phù hợp với thực tiễn cải cách tư pháp hiện nay, tập trung vào các nội dung chính như sau:</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1.1. Đơn giản hóa về số lượng thủ tục hành chính</w:t>
      </w:r>
    </w:p>
    <w:p w:rsidR="009311A6" w:rsidRPr="00CF0055" w:rsidRDefault="002536E9"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Dự án Luật sửa đổi, bổ sung một số điều của Luật Thể dục, thể thao, Luật Du lịch, Luật Điện ảnh, Luật Thư viện, Luật Di sản văn hóa sửa đổi, bổ sung quy định của 05 Luật, gồm ... TTHC, trong đó 02 TTHC tại Luật Thể dục, thể thao, </w:t>
      </w:r>
      <w:r w:rsidR="009311A6" w:rsidRPr="00CF0055">
        <w:rPr>
          <w:rFonts w:ascii="Times New Roman" w:eastAsia="Times New Roman" w:hAnsi="Times New Roman" w:cs="Times New Roman"/>
          <w:noProof/>
          <w:sz w:val="28"/>
          <w:szCs w:val="28"/>
          <w:lang w:val="vi-VN"/>
        </w:rPr>
        <w:t xml:space="preserve">... TTHC tại Luật Du lịch, 01 TTHC tại Luật Thư viện, 01 TTHC tại Luật Điện ảnh, 01 TTHC tại Luật Di sản văn hóa. </w:t>
      </w:r>
    </w:p>
    <w:p w:rsidR="00744AD8" w:rsidRPr="00CF0055" w:rsidRDefault="00744AD8"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Trong đó các TTHC .../.. được sửa đổi, bổ sung theo hướng cắt giảm, đơn giản hóa thành phần hồ sơ, cắt giảm điều kiện thực hiện TTHC, cắt giảm số ngày giải quyết TTHC</w:t>
      </w:r>
      <w:r w:rsidR="00202DE1" w:rsidRPr="00CF0055">
        <w:rPr>
          <w:rFonts w:ascii="Times New Roman" w:eastAsia="Times New Roman" w:hAnsi="Times New Roman" w:cs="Times New Roman"/>
          <w:noProof/>
          <w:sz w:val="28"/>
          <w:szCs w:val="28"/>
          <w:lang w:val="vi-VN"/>
        </w:rPr>
        <w:t xml:space="preserve"> (thực thi phương án cắt giảm, đơn giản hóa thủ tục hành chính được Thủ tướng Chính phủ phê duyệt tại Quyết định số 1616/QĐ-TTg)</w:t>
      </w:r>
      <w:r w:rsidRPr="00CF0055">
        <w:rPr>
          <w:rFonts w:ascii="Times New Roman" w:eastAsia="Times New Roman" w:hAnsi="Times New Roman" w:cs="Times New Roman"/>
          <w:noProof/>
          <w:sz w:val="28"/>
          <w:szCs w:val="28"/>
          <w:lang w:val="vi-VN"/>
        </w:rPr>
        <w:t xml:space="preserve">; bãi bỏ 02 TTHC. Dự thảo Luật giao Chính phủ quy định chi tiết 01 TTHC (trong lĩnh vực du lịch), giao Bộ trưởng Bộ Văn hóa, Thể thao và Du lịch quy định chi tiết 01 TTHC (trong lĩnh vực di sản văn hóa) để thực hiện công tác quản lý nhà nước, đồng thời tạo cơ sở pháp lý để các tổ chức, cá nhân, cơ quan thực hiện.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Sự thay đổi về mặt số lượng TTHC là cơ sở cho việc tái cấu trúc quy trình, loại bỏ các rào cản hành chính rườm rà nhằm tạo điều kiện thuận lợi nhất cho người dân. Về mặt lợi ích của người dân, số lượng TTHC giảm tạo thuận lợi cho người dân khi dễ dàng xác định, lựa chọn TTHC phù hợp với yêu cầu của cá nhân, thích hợp với đa dạng đối tượng có trình độ dân trí khác nhau.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 xml:space="preserve">1.2. Đơn giản hóa về trình tự, thủ tục giải quyết thủ tục hành chính </w:t>
      </w:r>
    </w:p>
    <w:p w:rsidR="00296487" w:rsidRPr="00CF0055" w:rsidRDefault="00A31090" w:rsidP="0063540F">
      <w:pPr>
        <w:spacing w:before="120" w:after="120" w:line="240" w:lineRule="auto"/>
        <w:ind w:firstLine="567"/>
        <w:jc w:val="both"/>
        <w:rPr>
          <w:rFonts w:ascii="Times New Roman" w:eastAsia="Times New Roman" w:hAnsi="Times New Roman" w:cs="Times New Roman"/>
          <w:b/>
          <w:bCs/>
          <w:noProof/>
          <w:sz w:val="28"/>
          <w:szCs w:val="28"/>
          <w:lang w:val="vi-VN"/>
        </w:rPr>
      </w:pPr>
      <w:r w:rsidRPr="00CF0055">
        <w:rPr>
          <w:rFonts w:ascii="Times New Roman" w:eastAsia="Times New Roman" w:hAnsi="Times New Roman" w:cs="Times New Roman"/>
          <w:b/>
          <w:bCs/>
          <w:noProof/>
          <w:sz w:val="28"/>
          <w:szCs w:val="28"/>
          <w:lang w:val="vi-VN"/>
        </w:rPr>
        <w:t>Vê thành phần hồ sơ, cách thức thực hiện,</w:t>
      </w:r>
      <w:r w:rsidR="00284D25" w:rsidRPr="00CF0055">
        <w:rPr>
          <w:rFonts w:ascii="Times New Roman" w:eastAsia="Times New Roman" w:hAnsi="Times New Roman" w:cs="Times New Roman"/>
          <w:b/>
          <w:bCs/>
          <w:noProof/>
          <w:sz w:val="28"/>
          <w:szCs w:val="28"/>
          <w:lang w:val="vi-VN"/>
        </w:rPr>
        <w:t xml:space="preserve"> giải quyết thủ tục hành chính</w:t>
      </w:r>
    </w:p>
    <w:p w:rsidR="00296487" w:rsidRPr="00CF0055" w:rsidRDefault="00FD4588"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Dự thảo Luật</w:t>
      </w:r>
      <w:r w:rsidR="00A31090" w:rsidRPr="00CF0055">
        <w:rPr>
          <w:rFonts w:ascii="Times New Roman" w:eastAsia="Times New Roman" w:hAnsi="Times New Roman" w:cs="Times New Roman"/>
          <w:noProof/>
          <w:sz w:val="28"/>
          <w:szCs w:val="28"/>
          <w:lang w:val="vi-VN"/>
        </w:rPr>
        <w:t xml:space="preserve"> quy định thống nhất việc cắt giảm thành phần hồ sơ giấy, tăng ứng dụng công nghệ thông tin bằng việc tra cứu, khai thác dữ liệu có sẵn từ các cơ sở dữ liệu có liên quan để giải quyết yêu cầu cho người dân. Qua đó, cắt giảm triệt để các giấy tờ người dân phải xuất trình để chứng minh nhân thân/chứng minh tình trạng cư trú</w:t>
      </w:r>
      <w:r w:rsidRPr="00CF0055">
        <w:rPr>
          <w:rFonts w:ascii="Times New Roman" w:eastAsia="Times New Roman" w:hAnsi="Times New Roman" w:cs="Times New Roman"/>
          <w:noProof/>
          <w:sz w:val="28"/>
          <w:szCs w:val="28"/>
          <w:lang w:val="vi-VN"/>
        </w:rPr>
        <w:t>, bản sao có chứng thực</w:t>
      </w:r>
      <w:r w:rsidR="00A31090" w:rsidRPr="00CF0055">
        <w:rPr>
          <w:rFonts w:ascii="Times New Roman" w:eastAsia="Times New Roman" w:hAnsi="Times New Roman" w:cs="Times New Roman"/>
          <w:noProof/>
          <w:sz w:val="28"/>
          <w:szCs w:val="28"/>
          <w:lang w:val="vi-VN"/>
        </w:rPr>
        <w:t xml:space="preserve">. </w:t>
      </w:r>
    </w:p>
    <w:p w:rsidR="00296487" w:rsidRPr="00CF0055" w:rsidRDefault="00FD458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lastRenderedPageBreak/>
        <w:t>Thực hiện bổ sung cách thức thực hiện thủ tục hành chính; rút ngắn thời gian thực hiện thủ tục hành chính, đơn giản hóa thành phần hồ sơ thủ tục hành chính tại các thủ tục: cấp Giấy phép kinh doanh dịch vụ lữ hành nội địa, cấp Giấy phép kinh doanh dịch vụ lữ hành quốc tế, bãi bỏ thủ tục cấp lại giấy phép kinh doanh dịch vụ lữ hành, xếp hạng cơ sở lưu trú du lịch, cấp/cấp đổi/cấp lại thẻ hướng dẫn viên du lịch quốc tế, thẻ hướng dẫn viên du lịch nội địa, thành lập văn phòng đại diện phải được hợp pháp hóa lãnh sự, cấp Giấy phép cung cấp dịch vụ quay phim sử dụng bối cảnh tại Việt Nam cho tổ chức, cá nhân nước ngoài, điều kiện Tổ chức phổ biến phim tại địa điểm chiếu phim công cộng) để thực hiện phương án đơn giản hóa thủ tục hành chính đã được Thủ tướng Chính phủ phê duyệt tại Quyết định số 1616/QĐ-TTg ngày 28/7/2025</w:t>
      </w:r>
      <w:r w:rsidR="00A31090" w:rsidRPr="00CF0055">
        <w:rPr>
          <w:rFonts w:ascii="Times New Roman" w:eastAsia="Times New Roman" w:hAnsi="Times New Roman" w:cs="Times New Roman"/>
          <w:noProof/>
          <w:sz w:val="28"/>
          <w:szCs w:val="28"/>
          <w:lang w:val="vi-VN"/>
        </w:rPr>
        <w:t xml:space="preserve">.  </w:t>
      </w:r>
    </w:p>
    <w:p w:rsidR="00296487" w:rsidRPr="00CF0055" w:rsidRDefault="00A31090" w:rsidP="0063540F">
      <w:pPr>
        <w:spacing w:before="120" w:after="120" w:line="240" w:lineRule="auto"/>
        <w:ind w:firstLine="567"/>
        <w:jc w:val="both"/>
        <w:rPr>
          <w:rFonts w:ascii="Times New Roman" w:eastAsia="Times New Roman" w:hAnsi="Times New Roman" w:cs="Times New Roman"/>
          <w:iCs/>
          <w:noProof/>
          <w:sz w:val="28"/>
          <w:szCs w:val="28"/>
          <w:lang w:val="vi-VN"/>
        </w:rPr>
      </w:pPr>
      <w:r w:rsidRPr="00CF0055">
        <w:rPr>
          <w:rFonts w:ascii="Times New Roman" w:eastAsia="Times New Roman" w:hAnsi="Times New Roman" w:cs="Times New Roman"/>
          <w:iCs/>
          <w:noProof/>
          <w:sz w:val="28"/>
          <w:szCs w:val="28"/>
          <w:lang w:val="vi-VN"/>
        </w:rPr>
        <w:t xml:space="preserve">Về tính chi phí tuân thủ của từng thủ tục hành chính, các quy định TTHC tại </w:t>
      </w:r>
      <w:r w:rsidR="00FD4588" w:rsidRPr="00CF0055">
        <w:rPr>
          <w:rFonts w:ascii="Times New Roman" w:eastAsia="Times New Roman" w:hAnsi="Times New Roman" w:cs="Times New Roman"/>
          <w:iCs/>
          <w:noProof/>
          <w:sz w:val="28"/>
          <w:szCs w:val="28"/>
          <w:lang w:val="vi-VN"/>
        </w:rPr>
        <w:t>dự thảo Luật</w:t>
      </w:r>
      <w:r w:rsidRPr="00CF0055">
        <w:rPr>
          <w:rFonts w:ascii="Times New Roman" w:eastAsia="Times New Roman" w:hAnsi="Times New Roman" w:cs="Times New Roman"/>
          <w:iCs/>
          <w:noProof/>
          <w:sz w:val="28"/>
          <w:szCs w:val="28"/>
          <w:lang w:val="vi-VN"/>
        </w:rPr>
        <w:t xml:space="preserve"> </w:t>
      </w:r>
      <w:r w:rsidR="00FD4588" w:rsidRPr="00CF0055">
        <w:rPr>
          <w:rFonts w:ascii="Times New Roman" w:eastAsia="Times New Roman" w:hAnsi="Times New Roman" w:cs="Times New Roman"/>
          <w:iCs/>
          <w:noProof/>
          <w:sz w:val="28"/>
          <w:szCs w:val="28"/>
          <w:lang w:val="vi-VN"/>
        </w:rPr>
        <w:t>chỉ sửa đổi, bổ sung</w:t>
      </w:r>
      <w:r w:rsidRPr="00CF0055">
        <w:rPr>
          <w:rFonts w:ascii="Times New Roman" w:eastAsia="Times New Roman" w:hAnsi="Times New Roman" w:cs="Times New Roman"/>
          <w:iCs/>
          <w:noProof/>
          <w:sz w:val="28"/>
          <w:szCs w:val="28"/>
          <w:lang w:val="vi-VN"/>
        </w:rPr>
        <w:t xml:space="preserve"> một vài bộ phần cấu thành</w:t>
      </w:r>
      <w:r w:rsidR="00FD4588" w:rsidRPr="00CF0055">
        <w:rPr>
          <w:rFonts w:ascii="Times New Roman" w:eastAsia="Times New Roman" w:hAnsi="Times New Roman" w:cs="Times New Roman"/>
          <w:iCs/>
          <w:noProof/>
          <w:sz w:val="28"/>
          <w:szCs w:val="28"/>
          <w:lang w:val="vi-VN"/>
        </w:rPr>
        <w:t xml:space="preserve"> TTHC. Các TTHC được quy định theo hướng cắt giảm, đơn giản hóa thành phần hồ sơ, thời gian giải quyết TTHC. Đối với 02 TTHC dự kiến ban hành mới </w:t>
      </w:r>
      <w:r w:rsidRPr="00CF0055">
        <w:rPr>
          <w:rFonts w:ascii="Times New Roman" w:eastAsia="Times New Roman" w:hAnsi="Times New Roman" w:cs="Times New Roman"/>
          <w:iCs/>
          <w:noProof/>
          <w:sz w:val="28"/>
          <w:szCs w:val="28"/>
          <w:lang w:val="vi-VN"/>
        </w:rPr>
        <w:t>giao Chính phủ</w:t>
      </w:r>
      <w:r w:rsidR="005C5A10" w:rsidRPr="00CF0055">
        <w:rPr>
          <w:rFonts w:ascii="Times New Roman" w:eastAsia="Times New Roman" w:hAnsi="Times New Roman" w:cs="Times New Roman"/>
          <w:iCs/>
          <w:noProof/>
          <w:sz w:val="28"/>
          <w:szCs w:val="28"/>
          <w:lang w:val="vi-VN"/>
        </w:rPr>
        <w:t xml:space="preserve">, Bộ trưởng Bộ </w:t>
      </w:r>
      <w:r w:rsidR="00FD4588" w:rsidRPr="00CF0055">
        <w:rPr>
          <w:rFonts w:ascii="Times New Roman" w:eastAsia="Times New Roman" w:hAnsi="Times New Roman" w:cs="Times New Roman"/>
          <w:iCs/>
          <w:noProof/>
          <w:sz w:val="28"/>
          <w:szCs w:val="28"/>
          <w:lang w:val="vi-VN"/>
        </w:rPr>
        <w:t>Văn hóa, Thể thao và Du lịch</w:t>
      </w:r>
      <w:r w:rsidRPr="00CF0055">
        <w:rPr>
          <w:rFonts w:ascii="Times New Roman" w:eastAsia="Times New Roman" w:hAnsi="Times New Roman" w:cs="Times New Roman"/>
          <w:iCs/>
          <w:noProof/>
          <w:sz w:val="28"/>
          <w:szCs w:val="28"/>
          <w:lang w:val="vi-VN"/>
        </w:rPr>
        <w:t xml:space="preserve"> quy định chi tiết</w:t>
      </w:r>
      <w:r w:rsidR="005C5A10" w:rsidRPr="00CF0055">
        <w:rPr>
          <w:rFonts w:ascii="Times New Roman" w:eastAsia="Times New Roman" w:hAnsi="Times New Roman" w:cs="Times New Roman"/>
          <w:iCs/>
          <w:noProof/>
          <w:sz w:val="28"/>
          <w:szCs w:val="28"/>
          <w:lang w:val="vi-VN"/>
        </w:rPr>
        <w:t>.</w:t>
      </w:r>
      <w:r w:rsidRPr="00CF0055">
        <w:rPr>
          <w:rFonts w:ascii="Times New Roman" w:eastAsia="Times New Roman" w:hAnsi="Times New Roman" w:cs="Times New Roman"/>
          <w:iCs/>
          <w:noProof/>
          <w:sz w:val="28"/>
          <w:szCs w:val="28"/>
          <w:lang w:val="vi-VN"/>
        </w:rPr>
        <w:t xml:space="preserve"> </w:t>
      </w:r>
      <w:r w:rsidR="005C5A10" w:rsidRPr="00CF0055">
        <w:rPr>
          <w:rFonts w:ascii="Times New Roman" w:eastAsia="Times New Roman" w:hAnsi="Times New Roman" w:cs="Times New Roman"/>
          <w:iCs/>
          <w:noProof/>
          <w:sz w:val="28"/>
          <w:szCs w:val="28"/>
          <w:lang w:val="vi-VN"/>
        </w:rPr>
        <w:t>D</w:t>
      </w:r>
      <w:r w:rsidRPr="00CF0055">
        <w:rPr>
          <w:rFonts w:ascii="Times New Roman" w:eastAsia="Times New Roman" w:hAnsi="Times New Roman" w:cs="Times New Roman"/>
          <w:iCs/>
          <w:noProof/>
          <w:sz w:val="28"/>
          <w:szCs w:val="28"/>
          <w:lang w:val="vi-VN"/>
        </w:rPr>
        <w:t>o đó</w:t>
      </w:r>
      <w:r w:rsidR="005C5A10" w:rsidRPr="00CF0055">
        <w:rPr>
          <w:rFonts w:ascii="Times New Roman" w:eastAsia="Times New Roman" w:hAnsi="Times New Roman" w:cs="Times New Roman"/>
          <w:iCs/>
          <w:noProof/>
          <w:sz w:val="28"/>
          <w:szCs w:val="28"/>
          <w:lang w:val="vi-VN"/>
        </w:rPr>
        <w:t>,</w:t>
      </w:r>
      <w:r w:rsidRPr="00CF0055">
        <w:rPr>
          <w:rFonts w:ascii="Times New Roman" w:eastAsia="Times New Roman" w:hAnsi="Times New Roman" w:cs="Times New Roman"/>
          <w:iCs/>
          <w:noProof/>
          <w:sz w:val="28"/>
          <w:szCs w:val="28"/>
          <w:lang w:val="vi-VN"/>
        </w:rPr>
        <w:t xml:space="preserve"> việc tính chi phí tuân thủ TTHC được đánh giá </w:t>
      </w:r>
      <w:r w:rsidR="005C5A10" w:rsidRPr="00CF0055">
        <w:rPr>
          <w:rFonts w:ascii="Times New Roman" w:eastAsia="Times New Roman" w:hAnsi="Times New Roman" w:cs="Times New Roman"/>
          <w:iCs/>
          <w:noProof/>
          <w:sz w:val="28"/>
          <w:szCs w:val="28"/>
          <w:lang w:val="vi-VN"/>
        </w:rPr>
        <w:t xml:space="preserve">sơ bộ </w:t>
      </w:r>
      <w:r w:rsidRPr="00CF0055">
        <w:rPr>
          <w:rFonts w:ascii="Times New Roman" w:eastAsia="Times New Roman" w:hAnsi="Times New Roman" w:cs="Times New Roman"/>
          <w:iCs/>
          <w:noProof/>
          <w:sz w:val="28"/>
          <w:szCs w:val="28"/>
          <w:lang w:val="vi-VN"/>
        </w:rPr>
        <w:t xml:space="preserve">tương đối, trong điều kiện TTHC được cắt giảm triệt để thành phần hồ sơ giấy tờ, </w:t>
      </w:r>
      <w:r w:rsidR="00FD4588" w:rsidRPr="00CF0055">
        <w:rPr>
          <w:rFonts w:ascii="Times New Roman" w:eastAsia="Times New Roman" w:hAnsi="Times New Roman" w:cs="Times New Roman"/>
          <w:iCs/>
          <w:noProof/>
          <w:sz w:val="28"/>
          <w:szCs w:val="28"/>
          <w:lang w:val="vi-VN"/>
        </w:rPr>
        <w:t>cán bộ tiếp nhận hồ sơ</w:t>
      </w:r>
      <w:r w:rsidRPr="00CF0055">
        <w:rPr>
          <w:rFonts w:ascii="Times New Roman" w:eastAsia="Times New Roman" w:hAnsi="Times New Roman" w:cs="Times New Roman"/>
          <w:iCs/>
          <w:noProof/>
          <w:sz w:val="28"/>
          <w:szCs w:val="28"/>
          <w:lang w:val="vi-VN"/>
        </w:rPr>
        <w:t xml:space="preserve"> có thể thực hiện tra cứu khai thác dữ liệu liên quan đến thông tin hồ sơ thủ tục hành chính từ</w:t>
      </w:r>
      <w:r w:rsidR="00FD4588" w:rsidRPr="00CF0055">
        <w:rPr>
          <w:rFonts w:ascii="Times New Roman" w:eastAsia="Times New Roman" w:hAnsi="Times New Roman" w:cs="Times New Roman"/>
          <w:iCs/>
          <w:noProof/>
          <w:sz w:val="28"/>
          <w:szCs w:val="28"/>
          <w:lang w:val="vi-VN"/>
        </w:rPr>
        <w:t xml:space="preserve"> các cơ sở dữ liệu có liên quan</w:t>
      </w:r>
      <w:r w:rsidRPr="00CF0055">
        <w:rPr>
          <w:rFonts w:ascii="Times New Roman" w:eastAsia="Times New Roman" w:hAnsi="Times New Roman" w:cs="Times New Roman"/>
          <w:iCs/>
          <w:noProof/>
          <w:sz w:val="28"/>
          <w:szCs w:val="28"/>
          <w:lang w:val="vi-VN"/>
        </w:rPr>
        <w:t>.</w:t>
      </w:r>
      <w:r w:rsidR="005C5A10" w:rsidRPr="00CF0055">
        <w:rPr>
          <w:rFonts w:ascii="Times New Roman" w:eastAsia="Times New Roman" w:hAnsi="Times New Roman" w:cs="Times New Roman"/>
          <w:iCs/>
          <w:noProof/>
          <w:sz w:val="28"/>
          <w:szCs w:val="28"/>
          <w:lang w:val="vi-VN"/>
        </w:rPr>
        <w:t xml:space="preserve"> Chi tiết biểu mẫu chi phí tuân thủ thủ tục hành chính sẽ được tính toán cụ thể khi xây dựng Dự thảo Nghị </w:t>
      </w:r>
      <w:r w:rsidR="00FD4588" w:rsidRPr="00CF0055">
        <w:rPr>
          <w:rFonts w:ascii="Times New Roman" w:eastAsia="Times New Roman" w:hAnsi="Times New Roman" w:cs="Times New Roman"/>
          <w:iCs/>
          <w:noProof/>
          <w:sz w:val="28"/>
          <w:szCs w:val="28"/>
          <w:lang w:val="vi-VN"/>
        </w:rPr>
        <w:t>định, Thông tư của Bộ trưởng Bộ Văn hóa, Thể thao và Du lịch</w:t>
      </w:r>
      <w:r w:rsidR="005C5A10" w:rsidRPr="00CF0055">
        <w:rPr>
          <w:rFonts w:ascii="Times New Roman" w:eastAsia="Times New Roman" w:hAnsi="Times New Roman" w:cs="Times New Roman"/>
          <w:iCs/>
          <w:noProof/>
          <w:sz w:val="28"/>
          <w:szCs w:val="28"/>
          <w:lang w:val="vi-VN"/>
        </w:rPr>
        <w:t xml:space="preserve"> quy định chi tiết hồ sơ, thời hạn, trình tự, thủ tục giải quyết của từng TTHC. </w:t>
      </w:r>
      <w:r w:rsidRPr="00CF0055">
        <w:rPr>
          <w:rFonts w:ascii="Times New Roman" w:eastAsia="Times New Roman" w:hAnsi="Times New Roman" w:cs="Times New Roman"/>
          <w:iCs/>
          <w:noProof/>
          <w:sz w:val="28"/>
          <w:szCs w:val="28"/>
          <w:lang w:val="vi-VN"/>
        </w:rPr>
        <w:t xml:space="preserve">  </w:t>
      </w:r>
    </w:p>
    <w:p w:rsidR="00284D25" w:rsidRPr="00CF0055" w:rsidRDefault="00284D25" w:rsidP="00284D25">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Đánh giá chung, việc sửa đổi, bổ sung TTHC tại Dự thảo Luật đã đảm bảo sự cần thiết, tính hợp lý, tính hợp pháp cũng như giảm thiểu đáng kể chi phí tuân thủ thủ tục hành chính.</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2. Việc phân quyền, phân cấp</w:t>
      </w:r>
    </w:p>
    <w:p w:rsidR="00296487" w:rsidRPr="00CF0055" w:rsidRDefault="00F74FEC"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Dự thảo Luật quy định v</w:t>
      </w:r>
      <w:r w:rsidR="00A31090" w:rsidRPr="00CF0055">
        <w:rPr>
          <w:rFonts w:ascii="Times New Roman" w:eastAsia="Times New Roman" w:hAnsi="Times New Roman" w:cs="Times New Roman"/>
          <w:noProof/>
          <w:sz w:val="28"/>
          <w:szCs w:val="28"/>
          <w:lang w:val="vi-VN"/>
        </w:rPr>
        <w:t xml:space="preserve">iệc quy định phân quyền theo tinh thần của Nghị quyết số 60-NQ/TW ngày 12/4/2025 của Ban Chấp hành Trung ương tại Hội nghị lần thứ 11 của Ban Chấp hành Trung ương Đảng khoá XIII; Kết luận số 21/KL/TW ngày 24/1/2025 của Ban Chấp hành Trung ương Đảng khoá XIII về việc tổng kết Nghị quyết số 18-NQ/TW; Nghị quyết số 66-NQ/TW ngày 30/4/2025 của Bộ Chính trị về đổi mới công tác xây dựng và thi hành pháp luật đáp ứng yêu cầu phát triển đất nước trong kỷ nguyên mới: xác định rõ trách nhiệm giữa Trung ương và địa phương và giữa các cấp chính quyền địa phương;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Đồng thời, việc phân quyền giải quyết TTHC từ UBND cấp huyện về UBND cấp xã cũng phù hợp với mô hình chính quyền địa phương 02 cấp theo Nghị quyết số 203/2025/QH15 về sửa đổi, bổ sung một số điều của Hiến pháp nước Cộng hòa xã hội chủ nghĩa Việt Nam và Luật Tổ chức quyền địa phương số 72/2025/QH15. </w:t>
      </w:r>
    </w:p>
    <w:p w:rsidR="00284D25" w:rsidRPr="00CF0055" w:rsidRDefault="00284D25"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lastRenderedPageBreak/>
        <w:t>T</w:t>
      </w:r>
      <w:r w:rsidR="00FD4588" w:rsidRPr="00CF0055">
        <w:rPr>
          <w:rFonts w:ascii="Times New Roman" w:eastAsia="Times New Roman" w:hAnsi="Times New Roman" w:cs="Times New Roman"/>
          <w:noProof/>
          <w:sz w:val="28"/>
          <w:szCs w:val="28"/>
          <w:lang w:val="vi-VN"/>
        </w:rPr>
        <w:t>iếp tục phân cấp giải quyết TTHC tại trung ương và địa phương</w:t>
      </w:r>
      <w:r w:rsidRPr="00CF0055">
        <w:rPr>
          <w:rFonts w:ascii="Times New Roman" w:eastAsia="Times New Roman" w:hAnsi="Times New Roman" w:cs="Times New Roman"/>
          <w:noProof/>
          <w:sz w:val="28"/>
          <w:szCs w:val="28"/>
          <w:lang w:val="vi-VN"/>
        </w:rPr>
        <w:t>, cụ thể như sau:</w:t>
      </w:r>
    </w:p>
    <w:p w:rsidR="00522E68" w:rsidRPr="00CF0055" w:rsidRDefault="00522E6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w:t>
      </w:r>
      <w:r w:rsidR="00FD4588" w:rsidRPr="00CF0055">
        <w:rPr>
          <w:rFonts w:ascii="Times New Roman" w:eastAsia="Times New Roman" w:hAnsi="Times New Roman" w:cs="Times New Roman"/>
          <w:noProof/>
          <w:sz w:val="28"/>
          <w:szCs w:val="28"/>
          <w:lang w:val="vi-VN"/>
        </w:rPr>
        <w:t xml:space="preserve">hân cấp thẩm quyền tổ chức đại hội thể thao cho Bộ trưởng Bộ Văn hóa, Thể thao và Du lịch (trước đây thuộc thẩm quyền của Thủ tướng Chính phủ); </w:t>
      </w:r>
    </w:p>
    <w:p w:rsidR="00522E68" w:rsidRPr="00CF0055" w:rsidRDefault="00522E68" w:rsidP="00522E6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Phân cấp thẩm quyền xem xét, phê duyệt đề án, dự án bảo vệ và phát huy giá trị di sản tư liệu trong các danh mục của UNESCO cho Chủ tịch Ủy ban nhân dân cấp tỉnh, Bộ trưởng, người đứng đầu ngành, cơ quan, tổ chức ở Trung ương (trước đây là thẩm quyền của Thủ tướng Chính phủ).</w:t>
      </w:r>
    </w:p>
    <w:p w:rsidR="00522E68" w:rsidRPr="00CF0055" w:rsidRDefault="00522E68" w:rsidP="00522E6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 Phân cấp thẩm quyền cho phép tổ chức xây dựng hồ sơ đề nghị UNESCO hỗ trợ bảo vệ các di sản được ghi danh trong Danh sách cần bảo vệ khẩn cấp từ Quỹ bảo vệ di sản văn hóa phi vật thể của Công ước 2003 về bảo vệ di sản văn hóa phi vật thể của UNESCO cho Bộ trưởng Bộ Văn hóa, Thể thao và Du lịch (trước đây là thẩm quyền của Thủ tướng Chính phủ); </w:t>
      </w:r>
    </w:p>
    <w:p w:rsidR="00E67358" w:rsidRPr="00CF0055" w:rsidRDefault="00E67358" w:rsidP="00E6735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Phân cấp thẩm quyền công nhận khu du lịch quốc gia đối với khu du lịch nằm trên địa bàn từ 02 đơn vị hành chính cấp tỉnh trở lên cho Bộ trưởng Bộ Văn hóa, Thể thao và Du lịch (trước đây là thẩm quyền của Thủ tướng Chính phủ);</w:t>
      </w:r>
    </w:p>
    <w:p w:rsidR="00522E68" w:rsidRPr="00CF0055" w:rsidRDefault="00522E68" w:rsidP="00522E6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 Phân cấp thẩm quyền cấp giấy phép phân loại phim cho cơ quan nhà nước có thẩm quyền về điện ảnh của Bộ Văn hóa, Thể thao và Du lịch (trước đây là Bộ Văn hóa, Thể thao và Du lịch); </w:t>
      </w:r>
    </w:p>
    <w:p w:rsidR="00522E68" w:rsidRPr="00CF0055" w:rsidRDefault="00522E6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w:t>
      </w:r>
      <w:r w:rsidR="00FD4588" w:rsidRPr="00CF0055">
        <w:rPr>
          <w:rFonts w:ascii="Times New Roman" w:eastAsia="Times New Roman" w:hAnsi="Times New Roman" w:cs="Times New Roman"/>
          <w:noProof/>
          <w:sz w:val="28"/>
          <w:szCs w:val="28"/>
          <w:lang w:val="vi-VN"/>
        </w:rPr>
        <w:t xml:space="preserve">hân cấp cho cơ quan chuyên môn cấp tỉnh quyết định công nhận điểm du lịch (trước đây cơ quan chuyên môn trình UBND cấp tỉnh quyết định); </w:t>
      </w:r>
    </w:p>
    <w:p w:rsidR="00522E68" w:rsidRPr="00CF0055" w:rsidRDefault="00522E6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w:t>
      </w:r>
      <w:r w:rsidR="00FD4588" w:rsidRPr="00CF0055">
        <w:rPr>
          <w:rFonts w:ascii="Times New Roman" w:eastAsia="Times New Roman" w:hAnsi="Times New Roman" w:cs="Times New Roman"/>
          <w:noProof/>
          <w:sz w:val="28"/>
          <w:szCs w:val="28"/>
          <w:lang w:val="vi-VN"/>
        </w:rPr>
        <w:t>hân cấp cho Ủy ban nhân dân cấp tỉnh xếp hạng cơ sở lưu trú du lịch hạng 1,2,3 sao</w:t>
      </w:r>
      <w:r w:rsidRPr="00CF0055">
        <w:rPr>
          <w:rFonts w:ascii="Times New Roman" w:eastAsia="Times New Roman" w:hAnsi="Times New Roman" w:cs="Times New Roman"/>
          <w:noProof/>
          <w:sz w:val="28"/>
          <w:szCs w:val="28"/>
          <w:lang w:val="vi-VN"/>
        </w:rPr>
        <w:t xml:space="preserve"> (để UBND cấp tỉnh ủy quyền cho UBND cấp xã nếu cần thiết)</w:t>
      </w:r>
      <w:r w:rsidR="00FD4588" w:rsidRPr="00CF0055">
        <w:rPr>
          <w:rFonts w:ascii="Times New Roman" w:eastAsia="Times New Roman" w:hAnsi="Times New Roman" w:cs="Times New Roman"/>
          <w:noProof/>
          <w:sz w:val="28"/>
          <w:szCs w:val="28"/>
          <w:lang w:val="vi-VN"/>
        </w:rPr>
        <w:t xml:space="preserve">; </w:t>
      </w:r>
    </w:p>
    <w:p w:rsidR="00522E68" w:rsidRPr="00CF0055" w:rsidRDefault="00522E6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P</w:t>
      </w:r>
      <w:r w:rsidR="00FD4588" w:rsidRPr="00CF0055">
        <w:rPr>
          <w:rFonts w:ascii="Times New Roman" w:eastAsia="Times New Roman" w:hAnsi="Times New Roman" w:cs="Times New Roman"/>
          <w:noProof/>
          <w:sz w:val="28"/>
          <w:szCs w:val="28"/>
          <w:lang w:val="vi-VN"/>
        </w:rPr>
        <w:t xml:space="preserve">hân cấp công nhận cơ sở kinh doanh dịch vụ du lịch khác đạt tiêu chuẩn phục vụ khách du lịch cho Ủy ban nhân dân cấp xã (trước đây là cơ quan chuyên môn cấp tỉnh); </w:t>
      </w:r>
    </w:p>
    <w:p w:rsidR="006824BC" w:rsidRPr="00CF0055" w:rsidRDefault="00522E68" w:rsidP="00FD4588">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Dự thảo Luật cũng q</w:t>
      </w:r>
      <w:r w:rsidR="00FD4588" w:rsidRPr="00CF0055">
        <w:rPr>
          <w:rFonts w:ascii="Times New Roman" w:eastAsia="Times New Roman" w:hAnsi="Times New Roman" w:cs="Times New Roman"/>
          <w:noProof/>
          <w:sz w:val="28"/>
          <w:szCs w:val="28"/>
          <w:lang w:val="vi-VN"/>
        </w:rPr>
        <w:t xml:space="preserve">uy định </w:t>
      </w:r>
      <w:r w:rsidR="00F74FEC" w:rsidRPr="00CF0055">
        <w:rPr>
          <w:rFonts w:ascii="Times New Roman" w:eastAsia="Times New Roman" w:hAnsi="Times New Roman" w:cs="Times New Roman"/>
          <w:noProof/>
          <w:sz w:val="28"/>
          <w:szCs w:val="28"/>
          <w:lang w:val="vi-VN"/>
        </w:rPr>
        <w:t xml:space="preserve">lại </w:t>
      </w:r>
      <w:r w:rsidR="00FD4588" w:rsidRPr="00CF0055">
        <w:rPr>
          <w:rFonts w:ascii="Times New Roman" w:eastAsia="Times New Roman" w:hAnsi="Times New Roman" w:cs="Times New Roman"/>
          <w:noProof/>
          <w:sz w:val="28"/>
          <w:szCs w:val="28"/>
          <w:lang w:val="vi-VN"/>
        </w:rPr>
        <w:t>thẩm quyền của UBND cấp tỉnh và UBND cấp xã</w:t>
      </w:r>
      <w:r w:rsidR="00F74FEC" w:rsidRPr="00CF0055">
        <w:rPr>
          <w:rFonts w:ascii="Times New Roman" w:eastAsia="Times New Roman" w:hAnsi="Times New Roman" w:cs="Times New Roman"/>
          <w:noProof/>
          <w:sz w:val="28"/>
          <w:szCs w:val="28"/>
          <w:lang w:val="vi-VN"/>
        </w:rPr>
        <w:t xml:space="preserve"> </w:t>
      </w:r>
      <w:r w:rsidR="006824BC" w:rsidRPr="00CF0055">
        <w:rPr>
          <w:rFonts w:ascii="Times New Roman" w:eastAsia="Times New Roman" w:hAnsi="Times New Roman" w:cs="Times New Roman"/>
          <w:noProof/>
          <w:sz w:val="28"/>
          <w:szCs w:val="28"/>
          <w:lang w:val="vi-VN"/>
        </w:rPr>
        <w:t>để</w:t>
      </w:r>
      <w:r w:rsidR="00F74FEC" w:rsidRPr="00CF0055">
        <w:rPr>
          <w:rFonts w:ascii="Times New Roman" w:eastAsia="Times New Roman" w:hAnsi="Times New Roman" w:cs="Times New Roman"/>
          <w:noProof/>
          <w:sz w:val="28"/>
          <w:szCs w:val="28"/>
          <w:lang w:val="vi-VN"/>
        </w:rPr>
        <w:t xml:space="preserve"> phù hợp</w:t>
      </w:r>
      <w:r w:rsidR="006824BC" w:rsidRPr="00CF0055">
        <w:rPr>
          <w:rFonts w:ascii="Times New Roman" w:eastAsia="Times New Roman" w:hAnsi="Times New Roman" w:cs="Times New Roman"/>
          <w:noProof/>
          <w:sz w:val="28"/>
          <w:szCs w:val="28"/>
          <w:lang w:val="vi-VN"/>
        </w:rPr>
        <w:t xml:space="preserve"> với chính quyền địa phương 02 cấp</w:t>
      </w:r>
      <w:r w:rsidRPr="00CF0055">
        <w:rPr>
          <w:rFonts w:ascii="Times New Roman" w:eastAsia="Times New Roman" w:hAnsi="Times New Roman" w:cs="Times New Roman"/>
          <w:noProof/>
          <w:sz w:val="28"/>
          <w:szCs w:val="28"/>
          <w:lang w:val="vi-VN"/>
        </w:rPr>
        <w:t>. Theo đó các nhiệm vụ của UBND cấp huyện trước đây được giao cho UBND cấp xã thực hiện.</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Nhìn chung, quy định về phân quyền</w:t>
      </w:r>
      <w:r w:rsidR="00F74FEC" w:rsidRPr="00CF0055">
        <w:rPr>
          <w:rFonts w:ascii="Times New Roman" w:eastAsia="Times New Roman" w:hAnsi="Times New Roman" w:cs="Times New Roman"/>
          <w:noProof/>
          <w:sz w:val="28"/>
          <w:szCs w:val="28"/>
          <w:lang w:val="vi-VN"/>
        </w:rPr>
        <w:t>, phân cấp</w:t>
      </w:r>
      <w:r w:rsidRPr="00CF0055">
        <w:rPr>
          <w:rFonts w:ascii="Times New Roman" w:eastAsia="Times New Roman" w:hAnsi="Times New Roman" w:cs="Times New Roman"/>
          <w:noProof/>
          <w:sz w:val="28"/>
          <w:szCs w:val="28"/>
          <w:lang w:val="vi-VN"/>
        </w:rPr>
        <w:t xml:space="preserve"> tại Dự thảo Luật đã đảm bảo phù hợp và toàn diện.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3. Việc ứng dụng, thúc đẩy phát triển khoa học, công nghệ, đổi mới sáng tạo và chuyển đổi số</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 xml:space="preserve">Về </w:t>
      </w:r>
      <w:r w:rsidR="0064490F" w:rsidRPr="00CF0055">
        <w:rPr>
          <w:rFonts w:ascii="Times New Roman" w:eastAsia="Times New Roman" w:hAnsi="Times New Roman" w:cs="Times New Roman"/>
          <w:noProof/>
          <w:sz w:val="28"/>
          <w:szCs w:val="28"/>
          <w:lang w:val="vi-VN"/>
        </w:rPr>
        <w:t>cơ bản</w:t>
      </w:r>
      <w:r w:rsidRPr="00CF0055">
        <w:rPr>
          <w:rFonts w:ascii="Times New Roman" w:eastAsia="Times New Roman" w:hAnsi="Times New Roman" w:cs="Times New Roman"/>
          <w:noProof/>
          <w:sz w:val="28"/>
          <w:szCs w:val="28"/>
          <w:lang w:val="vi-VN"/>
        </w:rPr>
        <w:t>, các quy định tại Dự thảo Luật phù hợp với một số văn bản chỉ đạo về việc ứng dụng, thúc đẩy phát triển khoa học, công nghệ, đổi mới sáng tạo và chuyển đổi số như: Nghị quyết số 57-NQ/TW ngày 22/12/2024 của Bộ Chính trị về đột phá phát triển khoa học, công nghệ, đổi mới sáng tạo và chuyển đổi số quốc gia; Kế hoạch số 02-KH/BCĐTW ngày 19/6/2025 của Ban chỉ đạo Trung ương về phát triển khoa học, công nghệ, đổi mới sáng tạo và chuyển đổi số.</w:t>
      </w:r>
    </w:p>
    <w:p w:rsidR="00296487" w:rsidRPr="00CF0055" w:rsidRDefault="0064490F" w:rsidP="006449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lastRenderedPageBreak/>
        <w:t>H</w:t>
      </w:r>
      <w:r w:rsidR="00A31090" w:rsidRPr="00CF0055">
        <w:rPr>
          <w:rFonts w:ascii="Times New Roman" w:eastAsia="Times New Roman" w:hAnsi="Times New Roman" w:cs="Times New Roman"/>
          <w:noProof/>
          <w:sz w:val="28"/>
          <w:szCs w:val="28"/>
          <w:lang w:val="vi-VN"/>
        </w:rPr>
        <w:t xml:space="preserve">iện nay </w:t>
      </w:r>
      <w:r w:rsidRPr="00CF0055">
        <w:rPr>
          <w:rFonts w:ascii="Times New Roman" w:eastAsia="Times New Roman" w:hAnsi="Times New Roman" w:cs="Times New Roman"/>
          <w:noProof/>
          <w:sz w:val="28"/>
          <w:szCs w:val="28"/>
          <w:lang w:val="vi-VN"/>
        </w:rPr>
        <w:t>việc giải quyết TTHC được giải quyết trực tuyến, nhập và lưu trữ hồ sơ TTHC trên Hệ thống tiếp nhận, giải quyết TTHC, Cổng dịch vụ Công quốc gia. Đồng thời, khai thác thông tin trong Cơ sở dữ liệu quốc gia để giải quyết TTHC cho người dân, doanh nghiệp, không yêu cầu người dân, doanh nghiệp cung cấp lại các thông tin có thể tra cứu được trên Cơ sở dữ liệu quốc gia. T</w:t>
      </w:r>
      <w:r w:rsidR="00A31090" w:rsidRPr="00CF0055">
        <w:rPr>
          <w:rFonts w:ascii="Times New Roman" w:eastAsia="Times New Roman" w:hAnsi="Times New Roman" w:cs="Times New Roman"/>
          <w:noProof/>
          <w:sz w:val="28"/>
          <w:szCs w:val="28"/>
          <w:lang w:val="vi-VN"/>
        </w:rPr>
        <w:t xml:space="preserve">heo Nghị quyết số 66.7/2025/NQ-CP của Chính phủ quy định về cắt giảm, đơn giản hoá TTHC dựa trên dữ liệu thì </w:t>
      </w:r>
      <w:r w:rsidR="00EB13DB" w:rsidRPr="00CF0055">
        <w:rPr>
          <w:rFonts w:ascii="Times New Roman" w:eastAsia="Times New Roman" w:hAnsi="Times New Roman" w:cs="Times New Roman"/>
          <w:noProof/>
          <w:sz w:val="28"/>
          <w:szCs w:val="28"/>
          <w:lang w:val="vi-VN"/>
        </w:rPr>
        <w:t>thành phần hồ sơ Giấy đăng ký kinh doanh hoặc giấy tờ có giá trị tương đương của doanh nghiệp kinh doanh dịch vụ lữ hành</w:t>
      </w:r>
      <w:r w:rsidR="00A31090" w:rsidRPr="00CF0055">
        <w:rPr>
          <w:rFonts w:ascii="Times New Roman" w:eastAsia="Times New Roman" w:hAnsi="Times New Roman" w:cs="Times New Roman"/>
          <w:noProof/>
          <w:sz w:val="28"/>
          <w:szCs w:val="28"/>
          <w:lang w:val="vi-VN"/>
        </w:rPr>
        <w:t xml:space="preserve"> </w:t>
      </w:r>
      <w:r w:rsidR="00EB13DB" w:rsidRPr="00CF0055">
        <w:rPr>
          <w:rFonts w:ascii="Times New Roman" w:eastAsia="Times New Roman" w:hAnsi="Times New Roman" w:cs="Times New Roman"/>
          <w:noProof/>
          <w:sz w:val="28"/>
          <w:szCs w:val="28"/>
          <w:lang w:val="vi-VN"/>
        </w:rPr>
        <w:t>khi thực hiện các TTHC: Cấp giấy phép kinh doanh dịch vụ lữ hành nội địa/quốc tế cần phải được bãi bỏ và tra cứu trong cơ sở dữ liệu quốc gia về đăng ký doanh nghiệp.</w:t>
      </w:r>
      <w:r w:rsidR="00A31090" w:rsidRPr="00CF0055">
        <w:rPr>
          <w:rFonts w:ascii="Times New Roman" w:eastAsia="Times New Roman" w:hAnsi="Times New Roman" w:cs="Times New Roman"/>
          <w:noProof/>
          <w:sz w:val="28"/>
          <w:szCs w:val="28"/>
          <w:lang w:val="vi-VN"/>
        </w:rPr>
        <w:t xml:space="preserve"> Do đó, việc quy định tại Dự thảo Luật là thống nhất, phù hợp với yêu cầu </w:t>
      </w:r>
      <w:r w:rsidRPr="00CF0055">
        <w:rPr>
          <w:rFonts w:ascii="Times New Roman" w:eastAsia="Times New Roman" w:hAnsi="Times New Roman" w:cs="Times New Roman"/>
          <w:noProof/>
          <w:sz w:val="28"/>
          <w:szCs w:val="28"/>
          <w:lang w:val="vi-VN"/>
        </w:rPr>
        <w:t>và điều kiện thực tiễn hiện nay,</w:t>
      </w:r>
      <w:r w:rsidR="00A31090" w:rsidRPr="00CF0055">
        <w:rPr>
          <w:rFonts w:ascii="Times New Roman" w:eastAsia="Times New Roman" w:hAnsi="Times New Roman" w:cs="Times New Roman"/>
          <w:noProof/>
          <w:sz w:val="28"/>
          <w:szCs w:val="28"/>
          <w:lang w:val="vi-VN"/>
        </w:rPr>
        <w:t xml:space="preserve"> </w:t>
      </w:r>
      <w:r w:rsidRPr="00CF0055">
        <w:rPr>
          <w:rFonts w:ascii="Times New Roman" w:eastAsia="Times New Roman" w:hAnsi="Times New Roman" w:cs="Times New Roman"/>
          <w:noProof/>
          <w:sz w:val="28"/>
          <w:szCs w:val="28"/>
          <w:lang w:val="vi-VN"/>
        </w:rPr>
        <w:t>việc giải quyết TTHC trên nền tảng hệ thống cũng sẽ bảo đảm thông suốt, tránh tình trạng phải chờ đợi, qua đó làm giảm chí phí xã hội, mang lại lợi ích thiết thực cho người dân.</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4. Việc bảo đảm bình đẳng giới</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Về cơ bản, các quy định trong Dự thảo Luật phù hợp với yêu cầu bảo đảm quyền bình đẳng về cơ hội, điều kiện, năng lực thụ hưởng các quyền, lợi ích của mỗi giới theo quy định của pháp luật Việt Nam và điều ước quốc tế có liên quan mà nước Cộng hòa xã hội chủ nghĩa Việt Nam</w:t>
      </w:r>
      <w:r w:rsidR="00A05B6D" w:rsidRPr="00CF0055">
        <w:rPr>
          <w:rFonts w:ascii="Times New Roman" w:eastAsia="Times New Roman" w:hAnsi="Times New Roman" w:cs="Times New Roman"/>
          <w:noProof/>
          <w:sz w:val="28"/>
          <w:szCs w:val="28"/>
          <w:lang w:val="vi-VN"/>
        </w:rPr>
        <w:t xml:space="preserve"> là thành viên. Dự thảo Luật </w:t>
      </w:r>
      <w:r w:rsidRPr="00CF0055">
        <w:rPr>
          <w:rFonts w:ascii="Times New Roman" w:eastAsia="Times New Roman" w:hAnsi="Times New Roman" w:cs="Times New Roman"/>
          <w:noProof/>
          <w:sz w:val="28"/>
          <w:szCs w:val="28"/>
          <w:lang w:val="vi-VN"/>
        </w:rPr>
        <w:t xml:space="preserve">không có quy định hạn chế quyền của mỗi giới, bất kỳ ai cũng có quyền bình đẳng như nhau khi thực hiện quyền và nghĩa vụ.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5. Việc thực hiện chính sách dân tộc</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Dự thảo Luật không quy định vấn đề đặc thù để đảm bảo thực hiện chính sách dân tộc cụ thể. Tuy nhiên, các quy định tại Dự thảo hiện nay được đánh giá có sự phù hợp với nguyên tắc bình đẳng, đoàn kết, tôn trọng, giúp đỡ nhau cùng phát triển giữa các dân tộc; việc bảo đảm quyền và lợi ích hợp pháp của dân tộc; quyền bình đẳng giữa các dân tộc; giữ gìn bản sắc dân tộc, phát huy phong tục, tập quán, truyền thống, văn hóa tốt đẹp của cá</w:t>
      </w:r>
      <w:r w:rsidR="00A05B6D" w:rsidRPr="00CF0055">
        <w:rPr>
          <w:rFonts w:ascii="Times New Roman" w:eastAsia="Times New Roman" w:hAnsi="Times New Roman" w:cs="Times New Roman"/>
          <w:noProof/>
          <w:sz w:val="28"/>
          <w:szCs w:val="28"/>
          <w:lang w:val="vi-VN"/>
        </w:rPr>
        <w:t xml:space="preserve">c dân tộc. </w:t>
      </w:r>
    </w:p>
    <w:p w:rsidR="00296487" w:rsidRPr="00CF0055" w:rsidRDefault="00A05B6D"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noProof/>
          <w:sz w:val="28"/>
          <w:szCs w:val="28"/>
          <w:lang w:val="vi-VN"/>
        </w:rPr>
        <w:t>V</w:t>
      </w:r>
      <w:r w:rsidR="00A31090" w:rsidRPr="00CF0055">
        <w:rPr>
          <w:rFonts w:ascii="Times New Roman" w:eastAsia="Times New Roman" w:hAnsi="Times New Roman" w:cs="Times New Roman"/>
          <w:noProof/>
          <w:sz w:val="28"/>
          <w:szCs w:val="28"/>
          <w:lang w:val="vi-VN"/>
        </w:rPr>
        <w:t>iệc quy định phương thức tiếp nhận và trả kết qu</w:t>
      </w:r>
      <w:r w:rsidRPr="00CF0055">
        <w:rPr>
          <w:rFonts w:ascii="Times New Roman" w:eastAsia="Times New Roman" w:hAnsi="Times New Roman" w:cs="Times New Roman"/>
          <w:noProof/>
          <w:sz w:val="28"/>
          <w:szCs w:val="28"/>
          <w:lang w:val="vi-VN"/>
        </w:rPr>
        <w:t>ả giải quyết TTHC</w:t>
      </w:r>
      <w:r w:rsidR="00A31090" w:rsidRPr="00CF0055">
        <w:rPr>
          <w:rFonts w:ascii="Times New Roman" w:eastAsia="Times New Roman" w:hAnsi="Times New Roman" w:cs="Times New Roman"/>
          <w:noProof/>
          <w:sz w:val="28"/>
          <w:szCs w:val="28"/>
          <w:lang w:val="vi-VN"/>
        </w:rPr>
        <w:t xml:space="preserve"> cho phép người dân lựa chọn thực hiện TTHC theo hình thức trực tuyến hoặc trực tiếp. Điều này là phù hợp với điều kiện kinh tế - xã hội của từng vùng, miền, phù hợp với nguyên tắc Nhà nước phục vụ nhân dân theo quy định tại Điều 8 Hiến pháp năm 2013. Về mặt xã hội, người dân ở vùng sâu, vùng xa, trong đó có cả nhóm người dân tộc thiểu số có thể gặp khó khăn trong việc sử dụng dịch vụ công trực tuyến do hạn chế về thiết bị, đường truyền Internet hoặc kỹ năng số. Việc duy trì hình thức nộp hồ sơ trực tiếp giúp đảm bảo khả năng tiếp cận quyền nhân thân cơ bản của một số nhóm yếu thế, trong đó có vùng đồng bào dân tộc thiểu số. </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b/>
          <w:bCs/>
          <w:noProof/>
          <w:sz w:val="28"/>
          <w:szCs w:val="28"/>
          <w:lang w:val="vi-VN"/>
        </w:rPr>
        <w:t>III. PHỤ LỤC</w:t>
      </w:r>
    </w:p>
    <w:p w:rsidR="00296487" w:rsidRPr="00CF0055" w:rsidRDefault="00A31090" w:rsidP="0063540F">
      <w:pPr>
        <w:spacing w:before="120" w:after="120" w:line="240" w:lineRule="auto"/>
        <w:ind w:firstLine="567"/>
        <w:jc w:val="both"/>
        <w:rPr>
          <w:rFonts w:ascii="Times New Roman" w:eastAsia="Times New Roman" w:hAnsi="Times New Roman" w:cs="Times New Roman"/>
          <w:noProof/>
          <w:sz w:val="28"/>
          <w:szCs w:val="28"/>
          <w:lang w:val="vi-VN"/>
        </w:rPr>
      </w:pPr>
      <w:r w:rsidRPr="00CF0055">
        <w:rPr>
          <w:rFonts w:ascii="Times New Roman" w:eastAsia="Times New Roman" w:hAnsi="Times New Roman" w:cs="Times New Roman"/>
          <w:i/>
          <w:iCs/>
          <w:noProof/>
          <w:sz w:val="28"/>
          <w:szCs w:val="28"/>
          <w:lang w:val="vi-VN"/>
        </w:rPr>
        <w:t>(Kèm theo Biểu mẫu đánh giá tác động thủ tục hành chính).</w:t>
      </w:r>
      <w:bookmarkStart w:id="0" w:name="_GoBack"/>
      <w:bookmarkEnd w:id="0"/>
    </w:p>
    <w:p w:rsidR="00296487" w:rsidRPr="00CF0055" w:rsidRDefault="00296487">
      <w:pPr>
        <w:ind w:firstLine="567"/>
        <w:jc w:val="both"/>
        <w:rPr>
          <w:rFonts w:ascii="Times New Roman" w:eastAsia="Times New Roman" w:hAnsi="Times New Roman" w:cs="Times New Roman"/>
          <w:noProof/>
          <w:sz w:val="28"/>
          <w:szCs w:val="28"/>
          <w:lang w:val="vi-VN"/>
        </w:rPr>
      </w:pPr>
    </w:p>
    <w:sectPr w:rsidR="00296487" w:rsidRPr="00CF0055" w:rsidSect="00284D25">
      <w:headerReference w:type="default" r:id="rId7"/>
      <w:pgSz w:w="11906" w:h="16838"/>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2F30" w:rsidRDefault="00CF2F30">
      <w:pPr>
        <w:spacing w:after="0" w:line="240" w:lineRule="auto"/>
      </w:pPr>
      <w:r>
        <w:separator/>
      </w:r>
    </w:p>
  </w:endnote>
  <w:endnote w:type="continuationSeparator" w:id="0">
    <w:p w:rsidR="00CF2F30" w:rsidRDefault="00CF2F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panose1 w:val="00000000000000000000"/>
    <w:charset w:val="00"/>
    <w:family w:val="roman"/>
    <w:notTrueType/>
    <w:pitch w:val="default"/>
  </w:font>
  <w:font w:name="Play">
    <w:charset w:val="00"/>
    <w:family w:val="auto"/>
    <w:pitch w:val="default"/>
    <w:embedRegular r:id="rId1" w:fontKey="{49C4E6C3-3375-4373-9F65-BDFD000CC132}"/>
  </w:font>
  <w:font w:name="Times New Roman">
    <w:panose1 w:val="02020603050405020304"/>
    <w:charset w:val="00"/>
    <w:family w:val="roman"/>
    <w:pitch w:val="variable"/>
    <w:sig w:usb0="E0002EFF" w:usb1="C000785B" w:usb2="00000009" w:usb3="00000000" w:csb0="000001FF" w:csb1="00000000"/>
  </w:font>
  <w:font w:name="Aptos Display">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2" w:fontKey="{8B25079F-D7C8-4DC2-9D98-0533D13BA3B1}"/>
  </w:font>
  <w:font w:name="Cambria">
    <w:panose1 w:val="02040503050406030204"/>
    <w:charset w:val="00"/>
    <w:family w:val="roman"/>
    <w:pitch w:val="variable"/>
    <w:sig w:usb0="E00006FF" w:usb1="420024FF" w:usb2="02000000" w:usb3="00000000" w:csb0="0000019F" w:csb1="00000000"/>
    <w:embedRegular r:id="rId3" w:fontKey="{52265D0A-85D3-4A08-9C50-FF7465FF9318}"/>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2F30" w:rsidRDefault="00CF2F30">
      <w:pPr>
        <w:spacing w:after="0" w:line="240" w:lineRule="auto"/>
      </w:pPr>
      <w:r>
        <w:separator/>
      </w:r>
    </w:p>
  </w:footnote>
  <w:footnote w:type="continuationSeparator" w:id="0">
    <w:p w:rsidR="00CF2F30" w:rsidRDefault="00CF2F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6487" w:rsidRDefault="00A31090">
    <w:pPr>
      <w:pBdr>
        <w:top w:val="nil"/>
        <w:left w:val="nil"/>
        <w:bottom w:val="nil"/>
        <w:right w:val="nil"/>
        <w:between w:val="nil"/>
      </w:pBdr>
      <w:tabs>
        <w:tab w:val="center" w:pos="4680"/>
        <w:tab w:val="right" w:pos="9360"/>
      </w:tabs>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CF0055">
      <w:rPr>
        <w:rFonts w:ascii="Times New Roman" w:eastAsia="Times New Roman" w:hAnsi="Times New Roman" w:cs="Times New Roman"/>
        <w:noProof/>
        <w:color w:val="000000"/>
      </w:rPr>
      <w:t>7</w:t>
    </w:r>
    <w:r>
      <w:rPr>
        <w:rFonts w:ascii="Times New Roman" w:eastAsia="Times New Roman" w:hAnsi="Times New Roman" w:cs="Times New Roman"/>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296487"/>
    <w:rsid w:val="000B3C37"/>
    <w:rsid w:val="00193D48"/>
    <w:rsid w:val="00202DE1"/>
    <w:rsid w:val="002536E9"/>
    <w:rsid w:val="00284D25"/>
    <w:rsid w:val="00296487"/>
    <w:rsid w:val="002B1B7D"/>
    <w:rsid w:val="002F73DE"/>
    <w:rsid w:val="003417A8"/>
    <w:rsid w:val="00522E68"/>
    <w:rsid w:val="005C5A10"/>
    <w:rsid w:val="0063540F"/>
    <w:rsid w:val="0064490F"/>
    <w:rsid w:val="006824BC"/>
    <w:rsid w:val="006C063A"/>
    <w:rsid w:val="006C399F"/>
    <w:rsid w:val="00744AD8"/>
    <w:rsid w:val="0089081C"/>
    <w:rsid w:val="009231AA"/>
    <w:rsid w:val="009311A6"/>
    <w:rsid w:val="00945139"/>
    <w:rsid w:val="009E2C0D"/>
    <w:rsid w:val="00A05B6D"/>
    <w:rsid w:val="00A31090"/>
    <w:rsid w:val="00A955E3"/>
    <w:rsid w:val="00B632EF"/>
    <w:rsid w:val="00BD3630"/>
    <w:rsid w:val="00C50157"/>
    <w:rsid w:val="00CB4187"/>
    <w:rsid w:val="00CF0055"/>
    <w:rsid w:val="00CF2F30"/>
    <w:rsid w:val="00D11D91"/>
    <w:rsid w:val="00D716C9"/>
    <w:rsid w:val="00DE70FB"/>
    <w:rsid w:val="00E67358"/>
    <w:rsid w:val="00EB13DB"/>
    <w:rsid w:val="00EF511F"/>
    <w:rsid w:val="00F74FEC"/>
    <w:rsid w:val="00FD45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AEB7DD"/>
  <w15:docId w15:val="{22BFACE8-B8B4-4FB4-A169-DC910FBFFB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pPr>
      <w:keepNext/>
      <w:keepLines/>
      <w:spacing w:before="160" w:after="80"/>
      <w:outlineLvl w:val="2"/>
    </w:pPr>
    <w:rPr>
      <w:color w:val="0F4761"/>
      <w:sz w:val="28"/>
      <w:szCs w:val="28"/>
    </w:rPr>
  </w:style>
  <w:style w:type="paragraph" w:styleId="Heading4">
    <w:name w:val="heading 4"/>
    <w:basedOn w:val="Normal"/>
    <w:next w:val="Normal"/>
    <w:pPr>
      <w:keepNext/>
      <w:keepLines/>
      <w:spacing w:before="80" w:after="40"/>
      <w:outlineLvl w:val="3"/>
    </w:pPr>
    <w:rPr>
      <w:i/>
      <w:iCs/>
      <w:color w:val="0F4761"/>
    </w:rPr>
  </w:style>
  <w:style w:type="paragraph" w:styleId="Heading5">
    <w:name w:val="heading 5"/>
    <w:basedOn w:val="Normal"/>
    <w:next w:val="Normal"/>
    <w:pPr>
      <w:keepNext/>
      <w:keepLines/>
      <w:spacing w:before="80" w:after="40"/>
      <w:outlineLvl w:val="4"/>
    </w:pPr>
    <w:rPr>
      <w:color w:val="0F4761"/>
    </w:rPr>
  </w:style>
  <w:style w:type="paragraph" w:styleId="Heading6">
    <w:name w:val="heading 6"/>
    <w:basedOn w:val="Normal"/>
    <w:next w:val="Normal"/>
    <w:pPr>
      <w:keepNext/>
      <w:keepLines/>
      <w:spacing w:before="40" w:after="0"/>
      <w:outlineLvl w:val="5"/>
    </w:pPr>
    <w:rPr>
      <w:i/>
      <w:iCs/>
      <w:color w:val="595959"/>
    </w:rPr>
  </w:style>
  <w:style w:type="paragraph" w:styleId="Heading7">
    <w:name w:val="heading 7"/>
    <w:basedOn w:val="Normal"/>
    <w:next w:val="Normal"/>
    <w:qFormat/>
    <w:pPr>
      <w:keepNext/>
      <w:keepLines/>
      <w:suppressAutoHyphens/>
      <w:spacing w:before="40" w:after="0"/>
      <w:ind w:leftChars="-1" w:left="-1" w:hangingChars="1" w:hanging="1"/>
      <w:textDirection w:val="btLr"/>
      <w:textAlignment w:val="top"/>
      <w:outlineLvl w:val="6"/>
    </w:pPr>
    <w:rPr>
      <w:color w:val="595959"/>
      <w:kern w:val="2"/>
      <w:position w:val="-1"/>
      <w:lang w:val="en-US"/>
    </w:rPr>
  </w:style>
  <w:style w:type="paragraph" w:styleId="Heading8">
    <w:name w:val="heading 8"/>
    <w:basedOn w:val="Normal"/>
    <w:next w:val="Normal"/>
    <w:qFormat/>
    <w:pPr>
      <w:keepNext/>
      <w:keepLines/>
      <w:suppressAutoHyphens/>
      <w:spacing w:after="0"/>
      <w:ind w:leftChars="-1" w:left="-1" w:hangingChars="1" w:hanging="1"/>
      <w:textDirection w:val="btLr"/>
      <w:textAlignment w:val="top"/>
      <w:outlineLvl w:val="7"/>
    </w:pPr>
    <w:rPr>
      <w:i/>
      <w:iCs/>
      <w:color w:val="272727"/>
      <w:kern w:val="2"/>
      <w:position w:val="-1"/>
      <w:lang w:val="en-US"/>
    </w:rPr>
  </w:style>
  <w:style w:type="paragraph" w:styleId="Heading9">
    <w:name w:val="heading 9"/>
    <w:basedOn w:val="Normal"/>
    <w:next w:val="Normal"/>
    <w:qFormat/>
    <w:pPr>
      <w:keepNext/>
      <w:keepLines/>
      <w:suppressAutoHyphens/>
      <w:spacing w:after="0"/>
      <w:ind w:leftChars="-1" w:left="-1" w:hangingChars="1" w:hanging="1"/>
      <w:textDirection w:val="btLr"/>
      <w:textAlignment w:val="top"/>
      <w:outlineLvl w:val="8"/>
    </w:pPr>
    <w:rPr>
      <w:color w:val="272727"/>
      <w:kern w:val="2"/>
      <w:positio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80" w:line="240" w:lineRule="auto"/>
    </w:pPr>
    <w:rPr>
      <w:rFonts w:ascii="Play" w:eastAsia="Play" w:hAnsi="Play" w:cs="Play"/>
      <w:sz w:val="56"/>
      <w:szCs w:val="56"/>
    </w:rPr>
  </w:style>
  <w:style w:type="character" w:customStyle="1" w:styleId="Heading1Char">
    <w:name w:val="Heading 1 Char"/>
    <w:rPr>
      <w:rFonts w:ascii="Aptos Display" w:eastAsia="Times New Roman" w:hAnsi="Aptos Display" w:cs="Times New Roman"/>
      <w:color w:val="0F4761"/>
      <w:w w:val="100"/>
      <w:position w:val="-1"/>
      <w:sz w:val="40"/>
      <w:szCs w:val="40"/>
      <w:effect w:val="none"/>
      <w:vertAlign w:val="baseline"/>
      <w:cs w:val="0"/>
      <w:em w:val="none"/>
    </w:rPr>
  </w:style>
  <w:style w:type="character" w:customStyle="1" w:styleId="Heading2Char">
    <w:name w:val="Heading 2 Char"/>
    <w:rPr>
      <w:rFonts w:ascii="Aptos Display" w:eastAsia="Times New Roman" w:hAnsi="Aptos Display" w:cs="Times New Roman"/>
      <w:color w:val="0F4761"/>
      <w:w w:val="100"/>
      <w:position w:val="-1"/>
      <w:sz w:val="32"/>
      <w:szCs w:val="32"/>
      <w:effect w:val="none"/>
      <w:vertAlign w:val="baseline"/>
      <w:cs w:val="0"/>
      <w:em w:val="none"/>
    </w:rPr>
  </w:style>
  <w:style w:type="character" w:customStyle="1" w:styleId="Heading3Char">
    <w:name w:val="Heading 3 Char"/>
    <w:rPr>
      <w:color w:val="0F4761"/>
      <w:w w:val="100"/>
      <w:position w:val="-1"/>
      <w:sz w:val="28"/>
      <w:szCs w:val="28"/>
      <w:effect w:val="none"/>
      <w:vertAlign w:val="baseline"/>
      <w:cs w:val="0"/>
      <w:em w:val="none"/>
    </w:rPr>
  </w:style>
  <w:style w:type="character" w:customStyle="1" w:styleId="Heading4Char">
    <w:name w:val="Heading 4 Char"/>
    <w:rPr>
      <w:i/>
      <w:iCs/>
      <w:color w:val="0F4761"/>
      <w:w w:val="100"/>
      <w:position w:val="-1"/>
      <w:effect w:val="none"/>
      <w:vertAlign w:val="baseline"/>
      <w:cs w:val="0"/>
      <w:em w:val="none"/>
    </w:rPr>
  </w:style>
  <w:style w:type="character" w:customStyle="1" w:styleId="Heading5Char">
    <w:name w:val="Heading 5 Char"/>
    <w:rPr>
      <w:color w:val="0F4761"/>
      <w:w w:val="100"/>
      <w:position w:val="-1"/>
      <w:effect w:val="none"/>
      <w:vertAlign w:val="baseline"/>
      <w:cs w:val="0"/>
      <w:em w:val="none"/>
    </w:rPr>
  </w:style>
  <w:style w:type="character" w:customStyle="1" w:styleId="Heading6Char">
    <w:name w:val="Heading 6 Char"/>
    <w:rPr>
      <w:i/>
      <w:iCs/>
      <w:color w:val="595959"/>
      <w:w w:val="100"/>
      <w:position w:val="-1"/>
      <w:effect w:val="none"/>
      <w:vertAlign w:val="baseline"/>
      <w:cs w:val="0"/>
      <w:em w:val="none"/>
    </w:rPr>
  </w:style>
  <w:style w:type="character" w:customStyle="1" w:styleId="Heading7Char">
    <w:name w:val="Heading 7 Char"/>
    <w:rPr>
      <w:color w:val="595959"/>
      <w:w w:val="100"/>
      <w:position w:val="-1"/>
      <w:effect w:val="none"/>
      <w:vertAlign w:val="baseline"/>
      <w:cs w:val="0"/>
      <w:em w:val="none"/>
    </w:rPr>
  </w:style>
  <w:style w:type="character" w:customStyle="1" w:styleId="Heading8Char">
    <w:name w:val="Heading 8 Char"/>
    <w:rPr>
      <w:i/>
      <w:iCs/>
      <w:color w:val="272727"/>
      <w:w w:val="100"/>
      <w:position w:val="-1"/>
      <w:effect w:val="none"/>
      <w:vertAlign w:val="baseline"/>
      <w:cs w:val="0"/>
      <w:em w:val="none"/>
    </w:rPr>
  </w:style>
  <w:style w:type="character" w:customStyle="1" w:styleId="Heading9Char">
    <w:name w:val="Heading 9 Char"/>
    <w:rPr>
      <w:color w:val="272727"/>
      <w:w w:val="100"/>
      <w:position w:val="-1"/>
      <w:effect w:val="none"/>
      <w:vertAlign w:val="baseline"/>
      <w:cs w:val="0"/>
      <w:em w:val="none"/>
    </w:rPr>
  </w:style>
  <w:style w:type="character" w:customStyle="1" w:styleId="TitleChar">
    <w:name w:val="Title Char"/>
    <w:rPr>
      <w:rFonts w:ascii="Aptos Display" w:eastAsia="Times New Roman" w:hAnsi="Aptos Display" w:cs="Times New Roman"/>
      <w:spacing w:val="-10"/>
      <w:w w:val="100"/>
      <w:kern w:val="28"/>
      <w:position w:val="-1"/>
      <w:sz w:val="56"/>
      <w:szCs w:val="56"/>
      <w:effect w:val="none"/>
      <w:vertAlign w:val="baseline"/>
      <w:cs w:val="0"/>
      <w:em w:val="none"/>
    </w:rPr>
  </w:style>
  <w:style w:type="character" w:customStyle="1" w:styleId="SubtitleChar">
    <w:name w:val="Subtitle Char"/>
    <w:rPr>
      <w:color w:val="595959"/>
      <w:spacing w:val="15"/>
      <w:w w:val="100"/>
      <w:position w:val="-1"/>
      <w:sz w:val="28"/>
      <w:szCs w:val="28"/>
      <w:effect w:val="none"/>
      <w:vertAlign w:val="baseline"/>
      <w:cs w:val="0"/>
      <w:em w:val="none"/>
    </w:rPr>
  </w:style>
  <w:style w:type="paragraph" w:styleId="Quote">
    <w:name w:val="Quote"/>
    <w:basedOn w:val="Normal"/>
    <w:next w:val="Normal"/>
    <w:pPr>
      <w:suppressAutoHyphens/>
      <w:spacing w:before="160"/>
      <w:ind w:leftChars="-1" w:left="-1" w:hangingChars="1" w:hanging="1"/>
      <w:jc w:val="center"/>
      <w:textDirection w:val="btLr"/>
      <w:textAlignment w:val="top"/>
      <w:outlineLvl w:val="0"/>
    </w:pPr>
    <w:rPr>
      <w:i/>
      <w:iCs/>
      <w:color w:val="404040"/>
      <w:kern w:val="2"/>
      <w:position w:val="-1"/>
      <w:lang w:val="en-US"/>
    </w:rPr>
  </w:style>
  <w:style w:type="character" w:customStyle="1" w:styleId="QuoteChar">
    <w:name w:val="Quote Char"/>
    <w:rPr>
      <w:i/>
      <w:iCs/>
      <w:color w:val="404040"/>
      <w:w w:val="100"/>
      <w:position w:val="-1"/>
      <w:effect w:val="none"/>
      <w:vertAlign w:val="baseline"/>
      <w:cs w:val="0"/>
      <w:em w:val="none"/>
    </w:rPr>
  </w:style>
  <w:style w:type="paragraph" w:styleId="ListParagraph">
    <w:name w:val="List Paragraph"/>
    <w:basedOn w:val="Normal"/>
    <w:pPr>
      <w:suppressAutoHyphens/>
      <w:ind w:leftChars="-1" w:left="720" w:hangingChars="1" w:hanging="1"/>
      <w:contextualSpacing/>
      <w:textDirection w:val="btLr"/>
      <w:textAlignment w:val="top"/>
      <w:outlineLvl w:val="0"/>
    </w:pPr>
    <w:rPr>
      <w:kern w:val="2"/>
      <w:position w:val="-1"/>
      <w:lang w:val="en-US"/>
    </w:rPr>
  </w:style>
  <w:style w:type="character" w:styleId="IntenseEmphasis">
    <w:name w:val="Intense Emphasis"/>
    <w:rPr>
      <w:i/>
      <w:iCs/>
      <w:color w:val="0F4761"/>
      <w:w w:val="100"/>
      <w:position w:val="-1"/>
      <w:effect w:val="none"/>
      <w:vertAlign w:val="baseline"/>
      <w:cs w:val="0"/>
      <w:em w:val="none"/>
    </w:rPr>
  </w:style>
  <w:style w:type="paragraph" w:styleId="IntenseQuote">
    <w:name w:val="Intense Quote"/>
    <w:basedOn w:val="Normal"/>
    <w:next w:val="Normal"/>
    <w:pPr>
      <w:pBdr>
        <w:top w:val="single" w:sz="4" w:space="10" w:color="0F4761"/>
        <w:bottom w:val="single" w:sz="4" w:space="10" w:color="0F4761"/>
      </w:pBdr>
      <w:suppressAutoHyphens/>
      <w:spacing w:before="360" w:after="360"/>
      <w:ind w:leftChars="-1" w:left="864" w:right="864" w:hangingChars="1" w:hanging="1"/>
      <w:jc w:val="center"/>
      <w:textDirection w:val="btLr"/>
      <w:textAlignment w:val="top"/>
      <w:outlineLvl w:val="0"/>
    </w:pPr>
    <w:rPr>
      <w:i/>
      <w:iCs/>
      <w:color w:val="0F4761"/>
      <w:kern w:val="2"/>
      <w:position w:val="-1"/>
      <w:lang w:val="en-US"/>
    </w:rPr>
  </w:style>
  <w:style w:type="character" w:customStyle="1" w:styleId="IntenseQuoteChar">
    <w:name w:val="Intense Quote Char"/>
    <w:rPr>
      <w:i/>
      <w:iCs/>
      <w:color w:val="0F4761"/>
      <w:w w:val="100"/>
      <w:position w:val="-1"/>
      <w:effect w:val="none"/>
      <w:vertAlign w:val="baseline"/>
      <w:cs w:val="0"/>
      <w:em w:val="none"/>
    </w:rPr>
  </w:style>
  <w:style w:type="character" w:styleId="IntenseReference">
    <w:name w:val="Intense Reference"/>
    <w:rPr>
      <w:b/>
      <w:bCs/>
      <w:smallCaps/>
      <w:color w:val="0F4761"/>
      <w:spacing w:val="5"/>
      <w:w w:val="100"/>
      <w:position w:val="-1"/>
      <w:effect w:val="none"/>
      <w:vertAlign w:val="baseline"/>
      <w:cs w:val="0"/>
      <w:em w:val="none"/>
    </w:rPr>
  </w:style>
  <w:style w:type="table" w:styleId="TableGrid">
    <w:name w:val="Table Grid"/>
    <w:basedOn w:val="TableNormal"/>
    <w:pPr>
      <w:suppressAutoHyphens/>
      <w:spacing w:after="0" w:line="240" w:lineRule="auto"/>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HeaderChar">
    <w:name w:val="Header Char"/>
    <w:rPr>
      <w:w w:val="100"/>
      <w:kern w:val="2"/>
      <w:position w:val="-1"/>
      <w:sz w:val="24"/>
      <w:szCs w:val="24"/>
      <w:effect w:val="none"/>
      <w:vertAlign w:val="baseline"/>
      <w:cs w:val="0"/>
      <w:em w:val="none"/>
    </w:rPr>
  </w:style>
  <w:style w:type="paragraph" w:styleId="Footer">
    <w:name w:val="footer"/>
    <w:basedOn w:val="Normal"/>
    <w:qFormat/>
    <w:pPr>
      <w:tabs>
        <w:tab w:val="center" w:pos="4680"/>
        <w:tab w:val="right" w:pos="9360"/>
      </w:tabs>
      <w:suppressAutoHyphens/>
      <w:ind w:leftChars="-1" w:left="-1" w:hangingChars="1" w:hanging="1"/>
      <w:textDirection w:val="btLr"/>
      <w:textAlignment w:val="top"/>
      <w:outlineLvl w:val="0"/>
    </w:pPr>
    <w:rPr>
      <w:kern w:val="2"/>
      <w:position w:val="-1"/>
      <w:lang w:val="en-US"/>
    </w:rPr>
  </w:style>
  <w:style w:type="character" w:customStyle="1" w:styleId="FooterChar">
    <w:name w:val="Footer Char"/>
    <w:rPr>
      <w:w w:val="100"/>
      <w:kern w:val="2"/>
      <w:position w:val="-1"/>
      <w:sz w:val="24"/>
      <w:szCs w:val="24"/>
      <w:effect w:val="none"/>
      <w:vertAlign w:val="baseline"/>
      <w:cs w:val="0"/>
      <w:em w:val="none"/>
    </w:rPr>
  </w:style>
  <w:style w:type="paragraph" w:styleId="FootnoteText">
    <w:name w:val="footnote text"/>
    <w:basedOn w:val="Normal"/>
    <w:qFormat/>
    <w:pPr>
      <w:suppressAutoHyphens/>
      <w:ind w:leftChars="-1" w:left="-1" w:hangingChars="1" w:hanging="1"/>
      <w:textDirection w:val="btLr"/>
      <w:textAlignment w:val="top"/>
      <w:outlineLvl w:val="0"/>
    </w:pPr>
    <w:rPr>
      <w:kern w:val="2"/>
      <w:position w:val="-1"/>
      <w:sz w:val="20"/>
      <w:szCs w:val="20"/>
      <w:lang w:val="en-US"/>
    </w:rPr>
  </w:style>
  <w:style w:type="character" w:customStyle="1" w:styleId="FootnoteTextChar">
    <w:name w:val="Footnote Text Char"/>
    <w:rPr>
      <w:w w:val="100"/>
      <w:kern w:val="2"/>
      <w:position w:val="-1"/>
      <w:effect w:val="none"/>
      <w:vertAlign w:val="baseline"/>
      <w:cs w:val="0"/>
      <w:em w:val="none"/>
    </w:rPr>
  </w:style>
  <w:style w:type="character" w:styleId="FootnoteReference">
    <w:name w:val="footnote reference"/>
    <w:qFormat/>
    <w:rPr>
      <w:w w:val="100"/>
      <w:position w:val="-1"/>
      <w:effect w:val="none"/>
      <w:vertAlign w:val="superscript"/>
      <w:cs w:val="0"/>
      <w:em w:val="none"/>
    </w:rPr>
  </w:style>
  <w:style w:type="paragraph" w:styleId="Subtitle">
    <w:name w:val="Subtitle"/>
    <w:basedOn w:val="Normal"/>
    <w:next w:val="Normal"/>
    <w:rPr>
      <w:color w:val="595959"/>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VvsmXQlGS7FS7dJD569H9hKImA==">CgMxLjAyD2lkLnZieWtwMDVzY2ExNTgAciExRUhDMkU3NGx2c2ZuS2RQNmNWNnpRSjFyR3piS1NObzM=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7</Pages>
  <Words>2811</Words>
  <Characters>16026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Nam</dc:creator>
  <cp:lastModifiedBy>Admin</cp:lastModifiedBy>
  <cp:revision>23</cp:revision>
  <cp:lastPrinted>2026-01-09T09:02:00Z</cp:lastPrinted>
  <dcterms:created xsi:type="dcterms:W3CDTF">2026-01-09T08:58:00Z</dcterms:created>
  <dcterms:modified xsi:type="dcterms:W3CDTF">2026-03-19T13:09:00Z</dcterms:modified>
</cp:coreProperties>
</file>